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#121-bis electronic</w:t>
      </w:r>
      <w:r>
        <w:rPr>
          <w:sz w:val="24"/>
          <w:szCs w:val="24"/>
        </w:rPr>
        <w:tab/>
      </w:r>
      <w:bookmarkStart w:id="3" w:name="_GoBack"/>
      <w:bookmarkEnd w:id="3"/>
      <w:r>
        <w:rPr>
          <w:sz w:val="24"/>
          <w:szCs w:val="24"/>
        </w:rPr>
        <w:t>R2-2</w:t>
      </w:r>
      <w:r>
        <w:rPr>
          <w:rFonts w:hint="eastAsia" w:eastAsia="宋体"/>
          <w:sz w:val="24"/>
          <w:szCs w:val="24"/>
          <w:lang w:val="en-US" w:eastAsia="zh-CN"/>
        </w:rPr>
        <w:t>303002</w:t>
      </w:r>
    </w:p>
    <w:p>
      <w:pPr>
        <w:pStyle w:val="33"/>
        <w:tabs>
          <w:tab w:val="left" w:pos="1701"/>
          <w:tab w:val="right" w:pos="9923"/>
        </w:tabs>
        <w:rPr>
          <w:sz w:val="24"/>
          <w:szCs w:val="24"/>
        </w:rPr>
      </w:pPr>
      <w:r>
        <w:rPr>
          <w:sz w:val="24"/>
          <w:szCs w:val="24"/>
        </w:rPr>
        <w:t>April 17-26, 2023</w:t>
      </w:r>
    </w:p>
    <w:p>
      <w:pPr>
        <w:pStyle w:val="32"/>
        <w:jc w:val="both"/>
        <w:rPr>
          <w:rFonts w:eastAsia="宋体"/>
          <w:b w:val="0"/>
          <w:i w:val="0"/>
          <w:sz w:val="24"/>
          <w:lang w:eastAsia="zh-CN"/>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 xml:space="preserve">Discussion on TAC/RANAC configuration for </w:t>
      </w:r>
      <w:r>
        <w:rPr>
          <w:rFonts w:ascii="Arial" w:hAnsi="Arial"/>
          <w:b/>
          <w:sz w:val="24"/>
          <w:lang w:val="en-US" w:eastAsia="zh-CN"/>
        </w:rPr>
        <w:t>mobile IAB</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rFonts w:hint="eastAsia"/>
          <w:lang w:val="en-US" w:eastAsia="zh-CN"/>
        </w:rPr>
      </w:pPr>
      <w:r>
        <w:rPr>
          <w:rFonts w:hint="eastAsia"/>
          <w:lang w:val="en-US" w:eastAsia="zh-CN"/>
        </w:rPr>
        <w:t>During RAN2#1</w:t>
      </w:r>
      <w:r>
        <w:rPr>
          <w:lang w:val="en-US" w:eastAsia="zh-CN"/>
        </w:rPr>
        <w:t>2</w:t>
      </w:r>
      <w:r>
        <w:rPr>
          <w:rFonts w:hint="eastAsia"/>
          <w:lang w:val="en-US" w:eastAsia="zh-CN"/>
        </w:rPr>
        <w:t xml:space="preserve">1 meeting, </w:t>
      </w:r>
      <w:r>
        <w:rPr>
          <w:lang w:val="en-US" w:eastAsia="zh-CN"/>
        </w:rPr>
        <w:t>RAN2 has a</w:t>
      </w:r>
      <w:r>
        <w:rPr>
          <w:rFonts w:hint="eastAsia"/>
          <w:lang w:val="en-US" w:eastAsia="zh-CN"/>
        </w:rPr>
        <w:t>n</w:t>
      </w:r>
      <w:r>
        <w:rPr>
          <w:lang w:val="en-US" w:eastAsia="zh-CN"/>
        </w:rPr>
        <w:t xml:space="preserve"> </w:t>
      </w:r>
      <w:r>
        <w:rPr>
          <w:rFonts w:hint="eastAsia"/>
          <w:lang w:val="en-US" w:eastAsia="zh-CN"/>
        </w:rPr>
        <w:t>initial</w:t>
      </w:r>
      <w:r>
        <w:rPr>
          <w:lang w:val="en-US" w:eastAsia="zh-CN"/>
        </w:rPr>
        <w:t xml:space="preserve"> discussion on TAC/R</w:t>
      </w:r>
      <w:r>
        <w:rPr>
          <w:rFonts w:hint="eastAsia"/>
          <w:lang w:val="en-US" w:eastAsia="zh-CN"/>
        </w:rPr>
        <w:t>A</w:t>
      </w:r>
      <w:r>
        <w:rPr>
          <w:lang w:val="en-US" w:eastAsia="zh-CN"/>
        </w:rPr>
        <w:t>NAC</w:t>
      </w:r>
      <w:r>
        <w:rPr>
          <w:rFonts w:hint="eastAsia"/>
          <w:lang w:val="en-US" w:eastAsia="zh-CN"/>
        </w:rPr>
        <w:t xml:space="preserve"> configuration for mobile IAB cells</w:t>
      </w:r>
      <w:r>
        <w:rPr>
          <w:lang w:val="en-US" w:eastAsia="zh-CN"/>
        </w:rPr>
        <w:t xml:space="preserve">. </w:t>
      </w:r>
      <w:r>
        <w:rPr>
          <w:rFonts w:hint="eastAsia"/>
          <w:lang w:val="en-US" w:eastAsia="zh-CN"/>
        </w:rPr>
        <w:t xml:space="preserve">Several companies think that RAN3 need to decide the new functionality of the network to change TAC dynamically before RAN2 can discuss. However, the TAC and especially RANAC configuration are traditional RAN2 relevant issues. It should be discussed in RAN2 as well and not totally relying on RAN2. </w:t>
      </w:r>
    </w:p>
    <w:p>
      <w:pPr>
        <w:spacing w:before="156" w:beforeLines="50"/>
        <w:jc w:val="both"/>
        <w:rPr>
          <w:lang w:val="en-US" w:eastAsia="zh-CN"/>
        </w:rPr>
      </w:pPr>
      <w:r>
        <w:rPr>
          <w:lang w:val="en-US" w:eastAsia="zh-CN"/>
        </w:rPr>
        <w:t>In this paper, we will analyze the impacts of the dynamic TAC</w:t>
      </w:r>
      <w:r>
        <w:rPr>
          <w:rFonts w:hint="eastAsia"/>
          <w:lang w:val="en-US" w:eastAsia="zh-CN"/>
        </w:rPr>
        <w:t>/RANAC</w:t>
      </w:r>
      <w:r>
        <w:rPr>
          <w:lang w:val="en-US" w:eastAsia="zh-CN"/>
        </w:rPr>
        <w:t xml:space="preserve"> solution and then give our analysis on </w:t>
      </w:r>
      <w:r>
        <w:rPr>
          <w:rFonts w:hint="eastAsia"/>
          <w:lang w:val="en-US" w:eastAsia="zh-CN"/>
        </w:rPr>
        <w:t>TAC/</w:t>
      </w:r>
      <w:r>
        <w:rPr>
          <w:lang w:val="en-US" w:eastAsia="zh-CN"/>
        </w:rPr>
        <w:t>RNA</w:t>
      </w:r>
      <w:r>
        <w:rPr>
          <w:rFonts w:hint="eastAsia"/>
          <w:lang w:val="en-US" w:eastAsia="zh-CN"/>
        </w:rPr>
        <w:t>C</w:t>
      </w:r>
      <w:r>
        <w:rPr>
          <w:lang w:val="en-US" w:eastAsia="zh-CN"/>
        </w:rPr>
        <w:t xml:space="preserve"> configuration.</w:t>
      </w:r>
    </w:p>
    <w:p>
      <w:pPr>
        <w:pStyle w:val="2"/>
        <w:jc w:val="both"/>
        <w:rPr>
          <w:lang w:eastAsia="zh-CN"/>
        </w:rPr>
      </w:pPr>
      <w:r>
        <w:rPr>
          <w:rFonts w:hint="eastAsia" w:eastAsia="宋体"/>
          <w:lang w:eastAsia="zh-CN"/>
        </w:rPr>
        <w:t>Discussion</w:t>
      </w:r>
    </w:p>
    <w:p>
      <w:pPr>
        <w:pStyle w:val="3"/>
        <w:bidi w:val="0"/>
        <w:rPr>
          <w:lang w:eastAsia="zh-CN"/>
        </w:rPr>
      </w:pPr>
      <w:r>
        <w:rPr>
          <w:rFonts w:hint="eastAsia"/>
          <w:lang w:val="en-US" w:eastAsia="zh-CN"/>
        </w:rPr>
        <w:t>TAC and RNAC configuration</w:t>
      </w:r>
    </w:p>
    <w:p>
      <w:pPr>
        <w:pStyle w:val="4"/>
        <w:bidi w:val="0"/>
        <w:rPr>
          <w:lang w:val="en-US" w:eastAsia="zh-CN"/>
        </w:rPr>
      </w:pPr>
      <w:r>
        <w:rPr>
          <w:rFonts w:hint="eastAsia"/>
          <w:lang w:val="en-US" w:eastAsia="zh-CN"/>
        </w:rPr>
        <w:t>TA configuration</w:t>
      </w:r>
    </w:p>
    <w:p>
      <w:pPr>
        <w:overflowPunct w:val="0"/>
        <w:autoSpaceDE w:val="0"/>
        <w:autoSpaceDN w:val="0"/>
        <w:adjustRightInd w:val="0"/>
        <w:spacing w:before="156" w:beforeLines="50"/>
        <w:jc w:val="both"/>
        <w:rPr>
          <w:lang w:val="en-US" w:eastAsia="zh-CN"/>
        </w:rPr>
      </w:pPr>
      <w:r>
        <w:rPr>
          <w:lang w:val="en-US" w:eastAsia="zh-CN"/>
        </w:rPr>
        <w:t xml:space="preserve">As per </w:t>
      </w:r>
      <w:r>
        <w:rPr>
          <w:rFonts w:hint="eastAsia"/>
          <w:lang w:val="en-US" w:eastAsia="zh-CN"/>
        </w:rPr>
        <w:t>L</w:t>
      </w:r>
      <w:r>
        <w:rPr>
          <w:lang w:val="en-US" w:eastAsia="zh-CN"/>
        </w:rPr>
        <w:t>S</w:t>
      </w:r>
      <w:r>
        <w:rPr>
          <w:rFonts w:hint="eastAsia"/>
          <w:lang w:val="en-US" w:eastAsia="zh-CN"/>
        </w:rPr>
        <w:t xml:space="preserve"> </w:t>
      </w:r>
      <w:r>
        <w:rPr>
          <w:lang w:val="en-US" w:eastAsia="zh-CN"/>
        </w:rPr>
        <w:t>from RAN3 R3-226831, RAN3 assumes that dynamic TAC solution should be supported and static TAC solution is not pursued.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120"/>
              <w:outlineLvl w:val="0"/>
              <w:rPr>
                <w:rFonts w:ascii="Arial" w:hAnsi="Arial" w:eastAsia="Batang" w:cs="Arial"/>
                <w:bCs/>
                <w:lang w:val="en-US" w:eastAsia="zh-CN"/>
              </w:rPr>
            </w:pPr>
            <w:r>
              <w:rPr>
                <w:rFonts w:hint="eastAsia" w:ascii="Arial" w:hAnsi="Arial" w:eastAsia="Batang" w:cs="Arial"/>
                <w:bCs/>
                <w:lang w:val="en-US" w:eastAsia="zh-CN"/>
              </w:rPr>
              <w:t xml:space="preserve">RAN3 discussed static and dynamic TAC solutions for mobile IAB and </w:t>
            </w:r>
            <w:r>
              <w:rPr>
                <w:rFonts w:ascii="Arial" w:hAnsi="Arial" w:eastAsia="Batang" w:cs="Arial"/>
                <w:bCs/>
                <w:lang w:val="en-US" w:eastAsia="zh-CN"/>
              </w:rPr>
              <w:t>achieved</w:t>
            </w:r>
            <w:r>
              <w:rPr>
                <w:rFonts w:hint="eastAsia" w:ascii="Arial" w:hAnsi="Arial" w:eastAsia="Batang" w:cs="Arial"/>
                <w:bCs/>
                <w:lang w:val="en-US" w:eastAsia="zh-CN"/>
              </w:rPr>
              <w:t xml:space="preserve"> the following agreement.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widowControl w:val="0"/>
                    <w:rPr>
                      <w:rFonts w:ascii="Calibri" w:hAnsi="Calibri" w:eastAsia="Batang" w:cs="Calibri"/>
                      <w:b/>
                      <w:bCs/>
                      <w:color w:val="008000"/>
                      <w:sz w:val="18"/>
                      <w:szCs w:val="18"/>
                    </w:rPr>
                  </w:pPr>
                  <w:r>
                    <w:rPr>
                      <w:rFonts w:ascii="Calibri" w:hAnsi="Calibri" w:eastAsia="Batang" w:cs="Calibri"/>
                      <w:b/>
                      <w:bCs/>
                      <w:color w:val="008000"/>
                      <w:sz w:val="18"/>
                      <w:szCs w:val="18"/>
                    </w:rPr>
                    <w:t xml:space="preserve">Static TAC solution is not pursued. </w:t>
                  </w:r>
                </w:p>
                <w:p>
                  <w:pPr>
                    <w:widowControl w:val="0"/>
                    <w:rPr>
                      <w:rFonts w:ascii="Arial" w:hAnsi="Arial" w:eastAsia="Batang" w:cs="Arial"/>
                      <w:b/>
                      <w:lang w:val="en-US" w:eastAsia="zh-CN"/>
                    </w:rPr>
                  </w:pPr>
                  <w:r>
                    <w:rPr>
                      <w:rFonts w:ascii="Calibri" w:hAnsi="Calibri" w:eastAsia="Batang" w:cs="Calibri"/>
                      <w:b/>
                      <w:bCs/>
                      <w:color w:val="008000"/>
                      <w:sz w:val="18"/>
                      <w:szCs w:val="18"/>
                    </w:rPr>
                    <w:t xml:space="preserve">RAN3 assumes that dynamic TAC solution should be supported. </w:t>
                  </w:r>
                </w:p>
              </w:tc>
            </w:tr>
          </w:tbl>
          <w:p>
            <w:pPr>
              <w:spacing w:after="120"/>
              <w:outlineLvl w:val="0"/>
              <w:rPr>
                <w:rFonts w:ascii="Arial" w:hAnsi="Arial" w:eastAsia="Batang" w:cs="Arial"/>
                <w:bCs/>
              </w:rPr>
            </w:pPr>
          </w:p>
          <w:p>
            <w:pPr>
              <w:overflowPunct w:val="0"/>
              <w:autoSpaceDE w:val="0"/>
              <w:autoSpaceDN w:val="0"/>
              <w:adjustRightInd w:val="0"/>
              <w:spacing w:before="156" w:beforeLines="50"/>
              <w:jc w:val="both"/>
              <w:rPr>
                <w:rFonts w:ascii="CG Times (WN)" w:hAnsi="CG Times (WN)" w:eastAsia="Batang"/>
                <w:lang w:val="en-US" w:eastAsia="zh-CN"/>
              </w:rPr>
            </w:pPr>
            <w:r>
              <w:rPr>
                <w:rFonts w:hint="eastAsia" w:ascii="Arial" w:hAnsi="Arial" w:eastAsia="Batang" w:cs="Arial"/>
                <w:bCs/>
                <w:lang w:val="en-US" w:eastAsia="zh-CN"/>
              </w:rPr>
              <w:t xml:space="preserve">RAN3 will </w:t>
            </w:r>
            <w:r>
              <w:rPr>
                <w:rFonts w:ascii="Arial" w:hAnsi="Arial" w:eastAsia="Batang" w:cs="Arial"/>
                <w:bCs/>
                <w:lang w:val="en-US" w:eastAsia="zh-CN"/>
              </w:rPr>
              <w:t>further study the</w:t>
            </w:r>
            <w:r>
              <w:rPr>
                <w:rFonts w:ascii="Arial" w:hAnsi="Arial" w:eastAsia="Batang" w:cs="Arial"/>
                <w:bCs/>
              </w:rPr>
              <w:t xml:space="preserve"> impacts (if any) of the dynamic TAC solution on RAN3 spec</w:t>
            </w:r>
            <w:r>
              <w:rPr>
                <w:rFonts w:hint="eastAsia" w:ascii="Arial" w:hAnsi="Arial" w:eastAsia="Batang" w:cs="Arial"/>
                <w:bCs/>
                <w:lang w:val="en-US" w:eastAsia="zh-CN"/>
              </w:rPr>
              <w:t>ification</w:t>
            </w:r>
            <w:r>
              <w:rPr>
                <w:rFonts w:ascii="Arial" w:hAnsi="Arial" w:eastAsia="Batang" w:cs="Arial"/>
                <w:bCs/>
                <w:lang w:val="en-US" w:eastAsia="zh-CN"/>
              </w:rPr>
              <w:t>s</w:t>
            </w:r>
            <w:r>
              <w:rPr>
                <w:rFonts w:hint="eastAsia" w:ascii="Arial" w:hAnsi="Arial" w:eastAsia="Batang" w:cs="Arial"/>
                <w:bCs/>
                <w:lang w:val="en-US" w:eastAsia="zh-CN"/>
              </w:rPr>
              <w:t>.</w:t>
            </w:r>
          </w:p>
        </w:tc>
      </w:tr>
    </w:tbl>
    <w:p>
      <w:pPr>
        <w:overflowPunct w:val="0"/>
        <w:autoSpaceDE w:val="0"/>
        <w:autoSpaceDN w:val="0"/>
        <w:adjustRightInd w:val="0"/>
        <w:spacing w:before="156" w:beforeLines="50"/>
        <w:jc w:val="both"/>
        <w:rPr>
          <w:rFonts w:hint="default"/>
          <w:lang w:val="en-US" w:eastAsia="zh-CN"/>
        </w:rPr>
      </w:pPr>
      <w:r>
        <w:rPr>
          <w:rFonts w:hint="eastAsia"/>
          <w:lang w:val="en-US" w:eastAsia="zh-CN"/>
        </w:rPr>
        <w:t>In addition, RAN3 further reached the following agreements during RAN3#119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rPr>
                <w:rFonts w:hint="default"/>
                <w:vertAlign w:val="baseline"/>
                <w:lang w:val="en-US" w:eastAsia="zh-CN"/>
              </w:rPr>
            </w:pPr>
            <w:r>
              <w:rPr>
                <w:rFonts w:ascii="Calibri" w:hAnsi="Calibri" w:cs="Calibri"/>
                <w:b/>
                <w:color w:val="008000"/>
                <w:sz w:val="18"/>
                <w:szCs w:val="18"/>
                <w:lang w:eastAsia="en-US"/>
              </w:rPr>
              <w:t>Capture on stage 2 that the TAC/RANAC broadcast by the mobile IAB-DU can be changed in order to reflect the mIAB-node’s physical location. It needs to be further discussed how the mobile IAB-DU’s TAC/RANAC is changed and what Stage 3 impacts are (if any).</w:t>
            </w:r>
            <w:r>
              <w:rPr>
                <w:rFonts w:ascii="Calibri" w:hAnsi="Calibri" w:cs="Calibri"/>
                <w:sz w:val="18"/>
                <w:szCs w:val="18"/>
                <w:lang w:eastAsia="en-US"/>
              </w:rPr>
              <w:t xml:space="preserve"> </w:t>
            </w:r>
          </w:p>
        </w:tc>
      </w:tr>
    </w:tbl>
    <w:p>
      <w:pPr>
        <w:overflowPunct w:val="0"/>
        <w:autoSpaceDE w:val="0"/>
        <w:autoSpaceDN w:val="0"/>
        <w:adjustRightInd w:val="0"/>
        <w:spacing w:before="156" w:beforeLines="50"/>
        <w:jc w:val="both"/>
        <w:rPr>
          <w:rFonts w:hint="default" w:eastAsia="宋体"/>
          <w:lang w:val="en-US" w:eastAsia="zh-CN"/>
        </w:rPr>
      </w:pPr>
      <w:r>
        <w:rPr>
          <w:rFonts w:hint="eastAsia"/>
          <w:lang w:val="en-US" w:eastAsia="zh-CN"/>
        </w:rPr>
        <w:t xml:space="preserve">On the other hand, SA2 has captured in TS 23.501 that TAC broadcasted by the MBSR cells can be configured by the OAM or donor-CU. </w:t>
      </w:r>
      <w:r>
        <w:t>When MBSR moves to a serving cell with a different TAC, the TAC to be broadcasted by the MBSR may also change</w:t>
      </w:r>
      <w:r>
        <w:rPr>
          <w:rFonts w:hint="eastAsia"/>
          <w:lang w:val="en-US" w:eastAsia="zh-CN"/>
        </w:rPr>
        <w:t xml:space="preserve">. </w:t>
      </w:r>
      <w:r>
        <w:t>How to configure the TAC and further updates will be added based on RAN WG inputs</w:t>
      </w:r>
      <w:r>
        <w:rPr>
          <w:rFonts w:hint="eastAsia"/>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rFonts w:hint="default" w:eastAsia="宋体"/>
                <w:lang w:val="en-US" w:eastAsia="zh-CN"/>
              </w:rPr>
            </w:pPr>
            <w:r>
              <w:rPr>
                <w:rFonts w:hint="eastAsia"/>
                <w:lang w:val="en-US" w:eastAsia="zh-CN"/>
              </w:rPr>
              <w:t>TS 23.501 v 18.1.0</w:t>
            </w:r>
          </w:p>
          <w:p>
            <w:r>
              <w:t>The TAC broadcasted by the MBSR cell(s) can be configured by the OAM or donor-CU. When MBSR moves to a serving cell with a different TAC, the TAC to be broadcasted by the MBSR may also change.</w:t>
            </w:r>
          </w:p>
          <w:p>
            <w:r>
              <w:t>For a UE served by a MBSR cell, it may observe change of TAC and/or cell IDs, even if it is still connected to the same MBSR. This can trigger mobility registrations, as defined in TS 23.502 [3], if the new TAC is not in the TAI list in the RA.</w:t>
            </w:r>
          </w:p>
          <w:p>
            <w:pPr>
              <w:pStyle w:val="124"/>
              <w:rPr>
                <w:rFonts w:hint="default"/>
                <w:vertAlign w:val="baseline"/>
                <w:lang w:val="en-US" w:eastAsia="zh-CN"/>
              </w:rPr>
            </w:pPr>
            <w:r>
              <w:t>Editor's note:</w:t>
            </w:r>
            <w:r>
              <w:tab/>
            </w:r>
            <w:r>
              <w:t>How to configure the TAC and further updates will be added based on RAN WG inputs.</w:t>
            </w:r>
          </w:p>
        </w:tc>
      </w:tr>
    </w:tbl>
    <w:p>
      <w:pPr>
        <w:overflowPunct w:val="0"/>
        <w:autoSpaceDE w:val="0"/>
        <w:autoSpaceDN w:val="0"/>
        <w:adjustRightInd w:val="0"/>
        <w:spacing w:before="156" w:beforeLines="50"/>
        <w:jc w:val="both"/>
        <w:rPr>
          <w:lang w:val="en-US" w:eastAsia="zh-CN"/>
        </w:rPr>
      </w:pPr>
      <w:r>
        <w:rPr>
          <w:rFonts w:hint="eastAsia"/>
          <w:lang w:val="en-US" w:eastAsia="zh-CN"/>
        </w:rPr>
        <w:t xml:space="preserve">As we analyzed in our paper(R2-2301079), </w:t>
      </w:r>
      <w:r>
        <w:rPr>
          <w:lang w:val="en-US" w:eastAsia="zh-CN"/>
        </w:rPr>
        <w:t xml:space="preserve">TAC update of mobile IAB node may occur when the mobile IAB-node perform intra-gNB partial migration or inter-gNB partial migration or full migration. </w:t>
      </w:r>
    </w:p>
    <w:p>
      <w:pPr>
        <w:overflowPunct w:val="0"/>
        <w:autoSpaceDE w:val="0"/>
        <w:autoSpaceDN w:val="0"/>
        <w:adjustRightInd w:val="0"/>
        <w:spacing w:before="156" w:beforeLines="50"/>
        <w:jc w:val="both"/>
        <w:rPr>
          <w:lang w:val="en-US" w:eastAsia="zh-CN"/>
        </w:rPr>
      </w:pPr>
      <w:r>
        <w:rPr>
          <w:rFonts w:hint="eastAsia"/>
          <w:lang w:val="en-US" w:eastAsia="zh-CN"/>
        </w:rPr>
        <w:t xml:space="preserve">For intra-gNB partial migration, the </w:t>
      </w:r>
      <w:r>
        <w:rPr>
          <w:lang w:val="en-US" w:eastAsia="zh-CN"/>
        </w:rPr>
        <w:t xml:space="preserve">gNB can determine whether it needs to configure a new TAC value for the mobile IAB node by comparing the TAC value broadcast in the source parent cell’s SIB and the TAC value broadcast in the target parent cell’s SIB. To be specific, if the TAC value in the SIB of the source parent cell is same as the TAC value in the SIB of the target parent cell, gNB does not need to configure a new TAC value for the mobile IAB node. On the contrary, if the TAC value in the SIB of the source parent cell is different from the TAC value in the SIB of the target parent cell, then gNB may decide to configure a new TAC value for the mobile IAB node or not. Further, the new TAC value can be configured to mobile IAB-DU via F1 signaling, or the new TAC value can be configured to mobile IAB-MT via RRC signaling (e.g. </w:t>
      </w:r>
      <w:r>
        <w:t>RRCReconfiguration</w:t>
      </w:r>
      <w:r>
        <w:rPr>
          <w:lang w:val="en-US" w:eastAsia="zh-CN"/>
        </w:rPr>
        <w:t>) and then mobile IAB-MT transport the TAC value to its collocated mobile IAB-DU.</w:t>
      </w:r>
    </w:p>
    <w:p>
      <w:pPr>
        <w:overflowPunct w:val="0"/>
        <w:autoSpaceDE w:val="0"/>
        <w:autoSpaceDN w:val="0"/>
        <w:adjustRightInd w:val="0"/>
        <w:spacing w:before="156" w:beforeLines="50"/>
        <w:jc w:val="both"/>
        <w:rPr>
          <w:rFonts w:hint="eastAsia"/>
        </w:rPr>
      </w:pPr>
      <w:r>
        <w:rPr>
          <w:rFonts w:hint="eastAsia"/>
          <w:lang w:val="en-US" w:eastAsia="zh-CN"/>
        </w:rPr>
        <w:t xml:space="preserve">With regard to inter-gNB partial migration, </w:t>
      </w:r>
      <w:r>
        <w:t xml:space="preserve">gNB can configure a TAC value </w:t>
      </w:r>
      <w:r>
        <w:rPr>
          <w:rFonts w:hint="eastAsia"/>
        </w:rPr>
        <w:t>during</w:t>
      </w:r>
      <w:r>
        <w:t xml:space="preserve"> mobile IAB MT’s migration phase or F1 transport migration phase. </w:t>
      </w:r>
      <w:r>
        <w:rPr>
          <w:rFonts w:hint="eastAsia"/>
        </w:rPr>
        <w:t xml:space="preserve">As </w:t>
      </w:r>
      <w:r>
        <w:rPr>
          <w:rFonts w:hint="eastAsia"/>
          <w:lang w:val="en-US" w:eastAsia="zh-CN"/>
        </w:rPr>
        <w:t>agreed in RAN3</w:t>
      </w:r>
      <w:r>
        <w:rPr>
          <w:sz w:val="20"/>
          <w:szCs w:val="20"/>
        </w:rPr>
        <w:t>, the</w:t>
      </w:r>
      <w:r>
        <w:rPr>
          <w:rFonts w:hint="eastAsia"/>
          <w:sz w:val="20"/>
          <w:szCs w:val="20"/>
          <w:lang w:val="en-US" w:eastAsia="zh-CN"/>
        </w:rPr>
        <w:t xml:space="preserve"> purpose of TAC change is to</w:t>
      </w:r>
      <w:r>
        <w:rPr>
          <w:sz w:val="20"/>
          <w:szCs w:val="20"/>
        </w:rPr>
        <w:t xml:space="preserve"> </w:t>
      </w:r>
      <w:r>
        <w:rPr>
          <w:rFonts w:hint="default" w:ascii="Times New Roman" w:hAnsi="Times New Roman" w:cs="Times New Roman"/>
          <w:b w:val="0"/>
          <w:bCs/>
          <w:color w:val="auto"/>
          <w:sz w:val="20"/>
          <w:szCs w:val="20"/>
          <w:lang w:eastAsia="en-US"/>
        </w:rPr>
        <w:t>reflect the mIAB-node’s physical location.</w:t>
      </w:r>
      <w:r>
        <w:rPr>
          <w:rFonts w:hint="default" w:ascii="Times New Roman" w:hAnsi="Times New Roman" w:cs="Times New Roman"/>
          <w:b w:val="0"/>
          <w:bCs/>
          <w:color w:val="auto"/>
          <w:sz w:val="20"/>
          <w:szCs w:val="20"/>
          <w:lang w:val="en-US" w:eastAsia="zh-CN"/>
        </w:rPr>
        <w:t xml:space="preserve"> </w:t>
      </w:r>
      <w:r>
        <w:rPr>
          <w:sz w:val="20"/>
          <w:szCs w:val="20"/>
        </w:rPr>
        <w:t xml:space="preserve">And the mobile IAB MT’s </w:t>
      </w:r>
      <w:r>
        <w:rPr>
          <w:rFonts w:hint="eastAsia"/>
          <w:sz w:val="20"/>
          <w:szCs w:val="20"/>
        </w:rPr>
        <w:t xml:space="preserve">target </w:t>
      </w:r>
      <w:r>
        <w:rPr>
          <w:sz w:val="20"/>
          <w:szCs w:val="20"/>
        </w:rPr>
        <w:t xml:space="preserve">donor has more information about the mobile IAB node’s geographical location (e.g. target parent’s TAC, TAC(s) of the </w:t>
      </w:r>
      <w:r>
        <w:rPr>
          <w:rFonts w:hint="eastAsia"/>
          <w:sz w:val="20"/>
          <w:szCs w:val="20"/>
        </w:rPr>
        <w:t xml:space="preserve">other </w:t>
      </w:r>
      <w:r>
        <w:rPr>
          <w:sz w:val="20"/>
          <w:szCs w:val="20"/>
        </w:rPr>
        <w:t xml:space="preserve">cells of the mobile IAB MT’s </w:t>
      </w:r>
      <w:r>
        <w:rPr>
          <w:rFonts w:hint="eastAsia"/>
          <w:sz w:val="20"/>
          <w:szCs w:val="20"/>
        </w:rPr>
        <w:t>target</w:t>
      </w:r>
      <w:r>
        <w:rPr>
          <w:sz w:val="20"/>
          <w:szCs w:val="20"/>
        </w:rPr>
        <w:t xml:space="preserve"> donor, etc.)</w:t>
      </w:r>
      <w:r>
        <w:rPr>
          <w:rFonts w:hint="eastAsia"/>
          <w:sz w:val="20"/>
          <w:szCs w:val="20"/>
        </w:rPr>
        <w:t>. So the</w:t>
      </w:r>
      <w:r>
        <w:rPr>
          <w:sz w:val="20"/>
          <w:szCs w:val="20"/>
        </w:rPr>
        <w:t xml:space="preserve"> mobile IAB-MT’s </w:t>
      </w:r>
      <w:r>
        <w:rPr>
          <w:rFonts w:hint="eastAsia"/>
          <w:sz w:val="20"/>
          <w:szCs w:val="20"/>
        </w:rPr>
        <w:t>target</w:t>
      </w:r>
      <w:r>
        <w:rPr>
          <w:sz w:val="20"/>
          <w:szCs w:val="20"/>
        </w:rPr>
        <w:t xml:space="preserve"> donor can config</w:t>
      </w:r>
      <w:r>
        <w:t>ure a TAC value to mobile IAB-MT via RRC signaling</w:t>
      </w:r>
      <w:r>
        <w:rPr>
          <w:rFonts w:hint="eastAsia"/>
          <w:lang w:val="en-US" w:eastAsia="zh-CN"/>
        </w:rPr>
        <w:t>. During</w:t>
      </w:r>
      <w:r>
        <w:t xml:space="preserve"> the mobile IAB-MT h</w:t>
      </w:r>
      <w:r>
        <w:rPr>
          <w:rFonts w:hint="eastAsia"/>
        </w:rPr>
        <w:t>a</w:t>
      </w:r>
      <w:r>
        <w:t>ndover form donor CU1 to donor CU2</w:t>
      </w:r>
      <w:r>
        <w:rPr>
          <w:rFonts w:hint="eastAsia"/>
          <w:lang w:val="en-US" w:eastAsia="zh-CN"/>
        </w:rPr>
        <w:t>, mobile IAB-MT may receive the new TAC value</w:t>
      </w:r>
      <w:r>
        <w:t xml:space="preserve"> and then mobile IAB-MT </w:t>
      </w:r>
      <w:r>
        <w:rPr>
          <w:rFonts w:hint="eastAsia"/>
        </w:rPr>
        <w:t>deliver</w:t>
      </w:r>
      <w:r>
        <w:t xml:space="preserve"> th</w:t>
      </w:r>
      <w:r>
        <w:rPr>
          <w:rFonts w:hint="eastAsia"/>
        </w:rPr>
        <w:t>is</w:t>
      </w:r>
      <w:r>
        <w:t xml:space="preserve"> TAC value to its collocated mobile IAB-DU. On the other hand, mobile IAB-DU’donor can configure a TAC value to mobile IAB-DU via F1 signaling.</w:t>
      </w:r>
      <w:r>
        <w:rPr>
          <w:rFonts w:hint="eastAsia"/>
        </w:rPr>
        <w:t xml:space="preserve"> I</w:t>
      </w:r>
      <w:r>
        <w:t xml:space="preserve">n </w:t>
      </w:r>
      <w:r>
        <w:rPr>
          <w:rFonts w:hint="eastAsia"/>
        </w:rPr>
        <w:t xml:space="preserve">this case, </w:t>
      </w:r>
      <w:r>
        <w:t xml:space="preserve">mobile IAB-DU’s donor need to acquire </w:t>
      </w:r>
      <w:r>
        <w:rPr>
          <w:rFonts w:hint="eastAsia"/>
        </w:rPr>
        <w:t>the</w:t>
      </w:r>
      <w:r>
        <w:t xml:space="preserve"> TAC information (e.g. TAC value of IAB node’s parent node or </w:t>
      </w:r>
      <w:r>
        <w:rPr>
          <w:rFonts w:hint="eastAsia"/>
        </w:rPr>
        <w:t xml:space="preserve">the allowed </w:t>
      </w:r>
      <w:r>
        <w:t xml:space="preserve">TAC(s) of the cells of the mobile IAB-MT’s </w:t>
      </w:r>
      <w:r>
        <w:rPr>
          <w:rFonts w:hint="eastAsia"/>
        </w:rPr>
        <w:t xml:space="preserve">target </w:t>
      </w:r>
      <w:r>
        <w:t xml:space="preserve">donor) from mobile IAB-MT’s </w:t>
      </w:r>
      <w:r>
        <w:rPr>
          <w:rFonts w:hint="eastAsia"/>
        </w:rPr>
        <w:t xml:space="preserve">target </w:t>
      </w:r>
      <w:r>
        <w:t xml:space="preserve">donor  via Xn or NG interface after mobile IAB-MT migration. </w:t>
      </w:r>
      <w:r>
        <w:rPr>
          <w:rFonts w:hint="eastAsia"/>
        </w:rPr>
        <w:t xml:space="preserve"> </w:t>
      </w:r>
    </w:p>
    <w:p>
      <w:pPr>
        <w:overflowPunct w:val="0"/>
        <w:autoSpaceDE w:val="0"/>
        <w:autoSpaceDN w:val="0"/>
        <w:adjustRightInd w:val="0"/>
        <w:spacing w:before="156" w:beforeLines="50"/>
        <w:jc w:val="both"/>
        <w:rPr>
          <w:rFonts w:hint="default"/>
          <w:b/>
          <w:lang w:val="en-US" w:eastAsia="zh-CN"/>
        </w:rPr>
      </w:pPr>
      <w:r>
        <w:rPr>
          <w:rFonts w:hint="eastAsia"/>
          <w:b/>
          <w:lang w:val="en-US" w:eastAsia="zh-CN"/>
        </w:rPr>
        <w:t xml:space="preserve">Observation 1: </w:t>
      </w:r>
      <w:r>
        <w:rPr>
          <w:rFonts w:hint="eastAsia"/>
          <w:b/>
          <w:bCs/>
          <w:lang w:val="en-US" w:eastAsia="zh-CN"/>
        </w:rPr>
        <w:t xml:space="preserve">Based on TS 23.501, the TAC broadcast by the mobile IAB cell can be configured by the OAM or donor-CU. </w:t>
      </w:r>
    </w:p>
    <w:p>
      <w:pPr>
        <w:jc w:val="both"/>
        <w:rPr>
          <w:b/>
          <w:lang w:val="en-US" w:eastAsia="zh-CN"/>
        </w:rPr>
      </w:pPr>
      <w:r>
        <w:rPr>
          <w:b/>
          <w:lang w:val="en-US" w:eastAsia="zh-CN"/>
        </w:rPr>
        <w:t xml:space="preserve">Observation </w:t>
      </w:r>
      <w:r>
        <w:rPr>
          <w:rFonts w:hint="eastAsia"/>
          <w:b/>
          <w:lang w:val="en-US" w:eastAsia="zh-CN"/>
        </w:rPr>
        <w:t>2</w:t>
      </w:r>
      <w:r>
        <w:rPr>
          <w:b/>
          <w:lang w:val="en-US" w:eastAsia="zh-CN"/>
        </w:rPr>
        <w:t xml:space="preserve">: </w:t>
      </w:r>
      <w:r>
        <w:rPr>
          <w:rFonts w:hint="eastAsia"/>
          <w:b/>
          <w:lang w:val="en-US" w:eastAsia="zh-CN"/>
        </w:rPr>
        <w:t>Both</w:t>
      </w:r>
      <w:r>
        <w:rPr>
          <w:b/>
          <w:lang w:val="en-US" w:eastAsia="zh-CN"/>
        </w:rPr>
        <w:t xml:space="preserve"> F1 signaling or RRC signaling can be used to </w:t>
      </w:r>
      <w:r>
        <w:rPr>
          <w:rFonts w:hint="eastAsia"/>
          <w:b/>
          <w:lang w:val="en-US" w:eastAsia="zh-CN"/>
        </w:rPr>
        <w:t>configure</w:t>
      </w:r>
      <w:r>
        <w:rPr>
          <w:b/>
          <w:lang w:val="en-US" w:eastAsia="zh-CN"/>
        </w:rPr>
        <w:t xml:space="preserve"> the new TAC</w:t>
      </w:r>
      <w:r>
        <w:rPr>
          <w:rFonts w:hint="eastAsia"/>
          <w:b/>
          <w:lang w:val="en-US" w:eastAsia="zh-CN"/>
        </w:rPr>
        <w:t xml:space="preserve"> value for mobile IAB cell during partial/full migration of mobile IAB node. </w:t>
      </w:r>
      <w:r>
        <w:rPr>
          <w:b/>
          <w:lang w:val="en-US" w:eastAsia="zh-CN"/>
        </w:rPr>
        <w:t xml:space="preserve"> </w:t>
      </w:r>
    </w:p>
    <w:p>
      <w:pPr>
        <w:jc w:val="both"/>
        <w:rPr>
          <w:b/>
          <w:lang w:val="en-US" w:eastAsia="zh-CN"/>
        </w:rPr>
      </w:pPr>
      <w:r>
        <w:rPr>
          <w:b/>
          <w:lang w:val="en-US" w:eastAsia="zh-CN"/>
        </w:rPr>
        <w:t xml:space="preserve">Observation </w:t>
      </w:r>
      <w:r>
        <w:rPr>
          <w:rFonts w:hint="eastAsia"/>
          <w:b/>
          <w:lang w:val="en-US" w:eastAsia="zh-CN"/>
        </w:rPr>
        <w:t>3</w:t>
      </w:r>
      <w:r>
        <w:rPr>
          <w:b/>
          <w:lang w:val="en-US" w:eastAsia="zh-CN"/>
        </w:rPr>
        <w:t>: For inter-gNB partial migration</w:t>
      </w:r>
      <w:r>
        <w:rPr>
          <w:rFonts w:hint="eastAsia"/>
          <w:b/>
          <w:lang w:val="en-US" w:eastAsia="zh-CN"/>
        </w:rPr>
        <w:t xml:space="preserve"> or full migration with mobile IAB-MT and mobile IAB-DU migrating to different donors</w:t>
      </w:r>
      <w:r>
        <w:rPr>
          <w:b/>
          <w:lang w:val="en-US" w:eastAsia="zh-CN"/>
        </w:rPr>
        <w:t>, if gNB determine</w:t>
      </w:r>
      <w:r>
        <w:rPr>
          <w:rFonts w:hint="eastAsia"/>
          <w:b/>
          <w:lang w:val="en-US" w:eastAsia="zh-CN"/>
        </w:rPr>
        <w:t>s</w:t>
      </w:r>
      <w:r>
        <w:rPr>
          <w:b/>
          <w:lang w:val="en-US" w:eastAsia="zh-CN"/>
        </w:rPr>
        <w:t xml:space="preserve"> to configure a new TAC value to mobile IAB node via F1 signaling, then mobile IAB-DU’s donor need to acquire some essential TAC information from mobile IAB-MT’s donor via Xn or NG.</w:t>
      </w:r>
    </w:p>
    <w:p>
      <w:pPr>
        <w:jc w:val="both"/>
        <w:rPr>
          <w:rFonts w:hint="eastAsia"/>
          <w:b w:val="0"/>
          <w:bCs/>
          <w:lang w:val="en-US" w:eastAsia="zh-CN"/>
        </w:rPr>
      </w:pPr>
      <w:r>
        <w:rPr>
          <w:rFonts w:hint="eastAsia"/>
          <w:b w:val="0"/>
          <w:bCs/>
          <w:lang w:val="en-US" w:eastAsia="zh-CN"/>
        </w:rPr>
        <w:t>With regard to the RRC signalling based approach, two options are mentioned during last meeting as follows:</w:t>
      </w:r>
    </w:p>
    <w:p>
      <w:pPr>
        <w:numPr>
          <w:ilvl w:val="0"/>
          <w:numId w:val="0"/>
        </w:numPr>
        <w:jc w:val="both"/>
        <w:rPr>
          <w:rFonts w:hint="default"/>
          <w:b w:val="0"/>
          <w:bCs/>
          <w:lang w:val="en-US" w:eastAsia="zh-CN"/>
        </w:rPr>
      </w:pPr>
      <w:r>
        <w:rPr>
          <w:rFonts w:hint="eastAsia"/>
          <w:lang w:val="en-US" w:eastAsia="zh-CN"/>
        </w:rPr>
        <w:t>Option 1: Mobile IAB-MT reads the TAC broadcast by its parent cell and delivers it to the co-located DU</w:t>
      </w:r>
    </w:p>
    <w:p>
      <w:pPr>
        <w:numPr>
          <w:ilvl w:val="0"/>
          <w:numId w:val="0"/>
        </w:numPr>
        <w:ind w:leftChars="0"/>
        <w:jc w:val="both"/>
        <w:rPr>
          <w:rFonts w:hint="default"/>
          <w:b w:val="0"/>
          <w:bCs/>
          <w:lang w:val="en-US" w:eastAsia="zh-CN"/>
        </w:rPr>
      </w:pPr>
      <w:r>
        <w:rPr>
          <w:rFonts w:hint="eastAsia"/>
          <w:b w:val="0"/>
          <w:bCs/>
          <w:lang w:val="en-US" w:eastAsia="zh-CN"/>
        </w:rPr>
        <w:t>Option 2: Mobile IAB-MT receives the TAC configured by target donor CU via dedicated signalling and delivers it to the co-located DU</w:t>
      </w:r>
    </w:p>
    <w:p>
      <w:pPr>
        <w:jc w:val="both"/>
        <w:rPr>
          <w:rFonts w:hint="eastAsia"/>
          <w:lang w:val="en-US" w:eastAsia="zh-CN"/>
        </w:rPr>
      </w:pPr>
      <w:r>
        <w:rPr>
          <w:rFonts w:hint="eastAsia"/>
          <w:b w:val="0"/>
          <w:bCs w:val="0"/>
          <w:lang w:val="en-US" w:eastAsia="zh-CN"/>
        </w:rPr>
        <w:t xml:space="preserve">For Option 1, if the legacy </w:t>
      </w:r>
      <w:r>
        <w:rPr>
          <w:rFonts w:hint="eastAsia"/>
          <w:lang w:val="en-US" w:eastAsia="zh-CN"/>
        </w:rPr>
        <w:t>TAC broadcast by mobile IAB-MT</w:t>
      </w:r>
      <w:r>
        <w:rPr>
          <w:rFonts w:hint="default"/>
          <w:lang w:val="en-US" w:eastAsia="zh-CN"/>
        </w:rPr>
        <w:t>’</w:t>
      </w:r>
      <w:r>
        <w:rPr>
          <w:rFonts w:hint="eastAsia"/>
          <w:lang w:val="en-US" w:eastAsia="zh-CN"/>
        </w:rPr>
        <w:t>s parent cell is directly used for mobile IAB-DU, it means that the TAC of mobile IAB-DU</w:t>
      </w:r>
      <w:r>
        <w:rPr>
          <w:rFonts w:hint="default"/>
          <w:lang w:val="en-US" w:eastAsia="zh-CN"/>
        </w:rPr>
        <w:t>’</w:t>
      </w:r>
      <w:r>
        <w:rPr>
          <w:rFonts w:hint="eastAsia"/>
          <w:lang w:val="en-US" w:eastAsia="zh-CN"/>
        </w:rPr>
        <w:t>s cell  aligned with the TAC broadcast by mobile IAB-MT</w:t>
      </w:r>
      <w:r>
        <w:rPr>
          <w:rFonts w:hint="default"/>
          <w:lang w:val="en-US" w:eastAsia="zh-CN"/>
        </w:rPr>
        <w:t>’</w:t>
      </w:r>
      <w:r>
        <w:rPr>
          <w:rFonts w:hint="eastAsia"/>
          <w:lang w:val="en-US" w:eastAsia="zh-CN"/>
        </w:rPr>
        <w:t>s parent cell. However, it</w:t>
      </w:r>
      <w:r>
        <w:rPr>
          <w:rFonts w:hint="default"/>
          <w:lang w:val="en-US" w:eastAsia="zh-CN"/>
        </w:rPr>
        <w:t>’</w:t>
      </w:r>
      <w:r>
        <w:rPr>
          <w:rFonts w:hint="eastAsia"/>
          <w:lang w:val="en-US" w:eastAsia="zh-CN"/>
        </w:rPr>
        <w:t xml:space="preserve">s not optimal since there may be some problem in </w:t>
      </w:r>
      <w:r>
        <w:t>forbidden Tracking Area mechanism</w:t>
      </w:r>
      <w:r>
        <w:rPr>
          <w:rFonts w:hint="eastAsia"/>
          <w:lang w:val="en-US" w:eastAsia="zh-CN"/>
        </w:rPr>
        <w:t>. Based on TS 23.501, f</w:t>
      </w:r>
      <w:r>
        <w:t>or the UE that does not support CAG functionality, NG-RAN and 5GC are allowed to use not only CAG mechanism but also the other existing mechanism e.g. forbidden Tracking Area, to manage its access to MBSR.</w:t>
      </w:r>
      <w:r>
        <w:rPr>
          <w:rFonts w:hint="eastAsia"/>
          <w:lang w:val="en-US" w:eastAsia="zh-CN"/>
        </w:rPr>
        <w:t xml:space="preserve"> For a UE that </w:t>
      </w:r>
      <w:r>
        <w:t>does not support CAG</w:t>
      </w:r>
      <w:r>
        <w:rPr>
          <w:rFonts w:hint="eastAsia"/>
          <w:lang w:val="en-US" w:eastAsia="zh-CN"/>
        </w:rPr>
        <w:t xml:space="preserve"> </w:t>
      </w:r>
      <w:r>
        <w:t>and is not allowed to access the mobile IAB node</w:t>
      </w:r>
      <w:r>
        <w:rPr>
          <w:rFonts w:hint="eastAsia"/>
          <w:lang w:val="en-US" w:eastAsia="zh-CN"/>
        </w:rPr>
        <w:t xml:space="preserve">, the TAC of the mobile IAB cell </w:t>
      </w:r>
      <w:r>
        <w:t>need</w:t>
      </w:r>
      <w:r>
        <w:rPr>
          <w:rFonts w:hint="eastAsia"/>
          <w:lang w:val="en-US" w:eastAsia="zh-CN"/>
        </w:rPr>
        <w:t xml:space="preserve">s </w:t>
      </w:r>
      <w:r>
        <w:t xml:space="preserve">to be </w:t>
      </w:r>
      <w:r>
        <w:rPr>
          <w:rFonts w:hint="eastAsia"/>
          <w:lang w:val="en-US" w:eastAsia="zh-CN"/>
        </w:rPr>
        <w:t>configured in the UE</w:t>
      </w:r>
      <w:r>
        <w:rPr>
          <w:rFonts w:hint="default"/>
          <w:lang w:val="en-US" w:eastAsia="zh-CN"/>
        </w:rPr>
        <w:t>’</w:t>
      </w:r>
      <w:r>
        <w:rPr>
          <w:rFonts w:hint="eastAsia"/>
          <w:lang w:val="en-US" w:eastAsia="zh-CN"/>
        </w:rPr>
        <w:t xml:space="preserve">s </w:t>
      </w:r>
      <w:r>
        <w:t>forbidden TA list</w:t>
      </w:r>
      <w:r>
        <w:rPr>
          <w:rFonts w:hint="eastAsia"/>
          <w:lang w:val="en-US" w:eastAsia="zh-CN"/>
        </w:rPr>
        <w:t xml:space="preserve">. If </w:t>
      </w:r>
      <w:r>
        <w:t>the mobile IAB cell’s TAC i</w:t>
      </w:r>
      <w:r>
        <w:rPr>
          <w:b w:val="0"/>
          <w:bCs w:val="0"/>
        </w:rPr>
        <w:t xml:space="preserve">s </w:t>
      </w:r>
      <w:r>
        <w:rPr>
          <w:rFonts w:hint="eastAsia"/>
          <w:b w:val="0"/>
          <w:bCs w:val="0"/>
          <w:lang w:val="en-US" w:eastAsia="zh-CN"/>
        </w:rPr>
        <w:t xml:space="preserve">aligned with </w:t>
      </w:r>
      <w:r>
        <w:t xml:space="preserve">its parent </w:t>
      </w:r>
      <w:r>
        <w:rPr>
          <w:rFonts w:hint="eastAsia"/>
          <w:lang w:val="en-US" w:eastAsia="zh-CN"/>
        </w:rPr>
        <w:t xml:space="preserve">cell, </w:t>
      </w:r>
      <w:r>
        <w:t xml:space="preserve">the UE </w:t>
      </w:r>
      <w:r>
        <w:rPr>
          <w:rFonts w:hint="eastAsia"/>
          <w:lang w:val="en-US" w:eastAsia="zh-CN"/>
        </w:rPr>
        <w:t>will not be able to</w:t>
      </w:r>
      <w:r>
        <w:t xml:space="preserve"> access the mobile IAB node’s parent cell </w:t>
      </w:r>
      <w:r>
        <w:rPr>
          <w:rFonts w:hint="eastAsia"/>
          <w:lang w:val="en-US" w:eastAsia="zh-CN"/>
        </w:rPr>
        <w:t>as well, which is not acceptable. To solve this problem, it would be better for the mobile IAB-MT</w:t>
      </w:r>
      <w:r>
        <w:rPr>
          <w:rFonts w:hint="default"/>
          <w:lang w:val="en-US" w:eastAsia="zh-CN"/>
        </w:rPr>
        <w:t>’</w:t>
      </w:r>
      <w:r>
        <w:rPr>
          <w:rFonts w:hint="eastAsia"/>
          <w:lang w:val="en-US" w:eastAsia="zh-CN"/>
        </w:rPr>
        <w:t>s parent cell broadcast a new TAC specific for mobile IAB node in addition to the legacy TAC.</w:t>
      </w:r>
    </w:p>
    <w:p>
      <w:pPr>
        <w:jc w:val="both"/>
        <w:rPr>
          <w:rFonts w:hint="default" w:eastAsia="宋体"/>
          <w:lang w:val="en-US" w:eastAsia="zh-CN"/>
        </w:rPr>
      </w:pPr>
      <w:r>
        <w:rPr>
          <w:rFonts w:hint="eastAsia"/>
          <w:lang w:val="en-US" w:eastAsia="zh-CN"/>
        </w:rPr>
        <w:t>For Option 2, the when mobile IAB-MT performs handover, the target donor CU may deliver the new TAC to mobile IAB-MT via RRCReconfiguration message and then the mobile IAB-MT delivers this new</w:t>
      </w:r>
      <w:r>
        <w:t xml:space="preserve"> TAC value to its collocated mobile IAB-DU</w:t>
      </w:r>
      <w:r>
        <w:rPr>
          <w:rFonts w:hint="eastAsia"/>
          <w:lang w:val="en-US" w:eastAsia="zh-CN"/>
        </w:rPr>
        <w:t xml:space="preserve">. Finally, the mobile IAB-DU broadcast this new TAC to UEs served by this mobile IAB-DU. </w:t>
      </w:r>
    </w:p>
    <w:p>
      <w:pPr>
        <w:jc w:val="both"/>
        <w:rPr>
          <w:lang w:eastAsia="zh-CN"/>
        </w:rPr>
      </w:pPr>
      <w:r>
        <w:t>In summary, there may be more spec</w:t>
      </w:r>
      <w:r>
        <w:rPr>
          <w:rFonts w:hint="eastAsia"/>
          <w:lang w:val="en-US" w:eastAsia="zh-CN"/>
        </w:rPr>
        <w:t>ification</w:t>
      </w:r>
      <w:r>
        <w:t xml:space="preserve"> impact if the TAC value is configured by mobile IAB-DU’s donor (e.g. Xn and NG need to be enhanced in the case of inter-gNB partial migration and full migration (</w:t>
      </w:r>
      <w:r>
        <w:rPr>
          <w:lang w:val="en-US" w:eastAsia="zh-CN"/>
        </w:rPr>
        <w:t>mobile IAB-MT and mobile IAB-DU migrating to different donors</w:t>
      </w:r>
      <w:r>
        <w:t>)). While TAC align with the TAC value broadcast by the parent cell of mobile IAB node, forbidden Tracking Area mechanism will not work. So we prefer t</w:t>
      </w:r>
      <w:r>
        <w:rPr>
          <w:rFonts w:hint="eastAsia"/>
        </w:rPr>
        <w:t xml:space="preserve">he TAC value </w:t>
      </w:r>
      <w:r>
        <w:t xml:space="preserve">that are broadcast in a </w:t>
      </w:r>
      <w:r>
        <w:rPr>
          <w:rFonts w:hint="eastAsia"/>
        </w:rPr>
        <w:t xml:space="preserve">mobile IAB </w:t>
      </w:r>
      <w:r>
        <w:t xml:space="preserve">cell's system information </w:t>
      </w:r>
      <w:r>
        <w:rPr>
          <w:rFonts w:hint="eastAsia"/>
        </w:rPr>
        <w:t xml:space="preserve">can be </w:t>
      </w:r>
      <w:r>
        <w:t>configured</w:t>
      </w:r>
      <w:r>
        <w:rPr>
          <w:rFonts w:hint="eastAsia"/>
        </w:rPr>
        <w:t xml:space="preserve"> </w:t>
      </w:r>
      <w:r>
        <w:t>by mobile IAB-MT and RRCReconfiguration message need to be enhanced</w:t>
      </w:r>
      <w:r>
        <w:rPr>
          <w:rFonts w:hint="eastAsia"/>
        </w:rPr>
        <w:t>.</w:t>
      </w:r>
      <w:r>
        <w:t xml:space="preserve"> </w:t>
      </w:r>
    </w:p>
    <w:p>
      <w:pPr>
        <w:overflowPunct w:val="0"/>
        <w:autoSpaceDE w:val="0"/>
        <w:autoSpaceDN w:val="0"/>
        <w:adjustRightInd w:val="0"/>
        <w:spacing w:before="156" w:beforeLines="50"/>
        <w:jc w:val="both"/>
        <w:rPr>
          <w:b/>
          <w:bCs/>
          <w:lang w:val="en-US" w:eastAsia="zh-CN"/>
        </w:rPr>
      </w:pPr>
      <w:r>
        <w:rPr>
          <w:rFonts w:hint="eastAsia"/>
          <w:b/>
          <w:bCs/>
          <w:lang w:val="en-US" w:eastAsia="zh-CN"/>
        </w:rPr>
        <w:t xml:space="preserve">Proposal 1: </w:t>
      </w:r>
      <w:r>
        <w:rPr>
          <w:b/>
          <w:bCs/>
        </w:rPr>
        <w:t>Mobile IAB-MT</w:t>
      </w:r>
      <w:r>
        <w:rPr>
          <w:rFonts w:hint="eastAsia"/>
          <w:b/>
          <w:bCs/>
          <w:lang w:val="en-US" w:eastAsia="zh-CN"/>
        </w:rPr>
        <w:t xml:space="preserve"> may receive </w:t>
      </w:r>
      <w:r>
        <w:rPr>
          <w:b/>
          <w:bCs/>
        </w:rPr>
        <w:t>a</w:t>
      </w:r>
      <w:r>
        <w:rPr>
          <w:rFonts w:hint="eastAsia"/>
          <w:b/>
          <w:bCs/>
          <w:lang w:val="en-US" w:eastAsia="zh-CN"/>
        </w:rPr>
        <w:t xml:space="preserve"> new</w:t>
      </w:r>
      <w:r>
        <w:rPr>
          <w:b/>
          <w:bCs/>
        </w:rPr>
        <w:t xml:space="preserve"> TAC value </w:t>
      </w:r>
      <w:r>
        <w:rPr>
          <w:rFonts w:hint="eastAsia"/>
          <w:b/>
          <w:bCs/>
          <w:lang w:val="en-US" w:eastAsia="zh-CN"/>
        </w:rPr>
        <w:t xml:space="preserve">specific for mobile IAB node either from system information or from dedicated signalling from donor CU during mobile IAB-MT HO </w:t>
      </w:r>
      <w:r>
        <w:rPr>
          <w:b/>
          <w:bCs/>
        </w:rPr>
        <w:t xml:space="preserve">and then mobile IAB-MT </w:t>
      </w:r>
      <w:r>
        <w:rPr>
          <w:rFonts w:hint="eastAsia"/>
          <w:b/>
          <w:bCs/>
        </w:rPr>
        <w:t>delivers</w:t>
      </w:r>
      <w:r>
        <w:rPr>
          <w:b/>
          <w:bCs/>
        </w:rPr>
        <w:t xml:space="preserve"> the </w:t>
      </w:r>
      <w:r>
        <w:rPr>
          <w:rFonts w:hint="eastAsia"/>
          <w:b/>
          <w:bCs/>
          <w:lang w:val="en-US" w:eastAsia="zh-CN"/>
        </w:rPr>
        <w:t xml:space="preserve">new </w:t>
      </w:r>
      <w:r>
        <w:rPr>
          <w:b/>
          <w:bCs/>
        </w:rPr>
        <w:t>TAC value</w:t>
      </w:r>
      <w:r>
        <w:rPr>
          <w:rFonts w:hint="eastAsia"/>
          <w:b/>
          <w:bCs/>
          <w:lang w:val="en-US" w:eastAsia="zh-CN"/>
        </w:rPr>
        <w:t xml:space="preserve"> specific for mobile IAB node</w:t>
      </w:r>
      <w:r>
        <w:rPr>
          <w:b/>
          <w:bCs/>
        </w:rPr>
        <w:t xml:space="preserve"> to its collocated mobile IAB-DU for SIB broadcasting</w:t>
      </w:r>
      <w:r>
        <w:rPr>
          <w:rFonts w:hint="eastAsia"/>
          <w:b/>
          <w:bCs/>
        </w:rPr>
        <w:t>.</w:t>
      </w:r>
    </w:p>
    <w:p>
      <w:pPr>
        <w:pStyle w:val="4"/>
        <w:bidi w:val="0"/>
        <w:rPr>
          <w:lang w:val="en-US" w:eastAsia="zh-CN"/>
        </w:rPr>
      </w:pPr>
      <w:r>
        <w:rPr>
          <w:rFonts w:hint="eastAsia"/>
          <w:lang w:val="en-US" w:eastAsia="zh-CN"/>
        </w:rPr>
        <w:t>RNA configuration</w:t>
      </w:r>
    </w:p>
    <w:p>
      <w:pPr>
        <w:overflowPunct w:val="0"/>
        <w:autoSpaceDE w:val="0"/>
        <w:autoSpaceDN w:val="0"/>
        <w:adjustRightInd w:val="0"/>
        <w:spacing w:before="156" w:beforeLines="50"/>
        <w:jc w:val="both"/>
        <w:rPr>
          <w:sz w:val="20"/>
          <w:szCs w:val="20"/>
          <w:lang w:val="en-US" w:eastAsia="zh-CN"/>
        </w:rPr>
      </w:pPr>
      <w:r>
        <w:rPr>
          <w:rFonts w:hint="eastAsia"/>
          <w:sz w:val="20"/>
          <w:szCs w:val="20"/>
          <w:lang w:val="en-US" w:eastAsia="zh-CN"/>
        </w:rPr>
        <w:t xml:space="preserve">For NR system, the UE is allowed to enter RRC_INACTIVE state. Before entering the RRC_INACTIVE state, the UE is configured by the last serving gNB with an RNA. The RNA can cover one or multiple cells, and should be </w:t>
      </w:r>
      <w:r>
        <w:rPr>
          <w:sz w:val="20"/>
          <w:szCs w:val="20"/>
        </w:rPr>
        <w:t xml:space="preserve">a subset of </w:t>
      </w:r>
      <w:r>
        <w:rPr>
          <w:rFonts w:hint="eastAsia"/>
          <w:sz w:val="20"/>
          <w:szCs w:val="20"/>
          <w:lang w:val="en-US" w:eastAsia="zh-CN"/>
        </w:rPr>
        <w:t xml:space="preserve">or equal to </w:t>
      </w:r>
      <w:r>
        <w:rPr>
          <w:sz w:val="20"/>
          <w:szCs w:val="20"/>
        </w:rPr>
        <w:t>a CN Tracking Area</w:t>
      </w:r>
      <w:r>
        <w:rPr>
          <w:rFonts w:hint="eastAsia"/>
          <w:sz w:val="20"/>
          <w:szCs w:val="20"/>
          <w:lang w:val="en-US" w:eastAsia="zh-CN"/>
        </w:rPr>
        <w:t xml:space="preserve">. To be specific, the RNA may be configured via a list of cells or a list of RAN Area Code (RANAC) or TAC for different PLMNs. The involved cells will </w:t>
      </w:r>
      <w:r>
        <w:rPr>
          <w:sz w:val="20"/>
          <w:szCs w:val="20"/>
        </w:rPr>
        <w:t xml:space="preserve">broadcast one </w:t>
      </w:r>
      <w:r>
        <w:rPr>
          <w:rFonts w:hint="eastAsia"/>
          <w:sz w:val="20"/>
          <w:szCs w:val="20"/>
          <w:lang w:val="en-US" w:eastAsia="zh-CN"/>
        </w:rPr>
        <w:t>RANAC</w:t>
      </w:r>
      <w:r>
        <w:rPr>
          <w:sz w:val="20"/>
          <w:szCs w:val="20"/>
        </w:rPr>
        <w:t xml:space="preserve"> in the </w:t>
      </w:r>
      <w:r>
        <w:rPr>
          <w:rFonts w:hint="eastAsia"/>
          <w:sz w:val="20"/>
          <w:szCs w:val="20"/>
          <w:lang w:val="en-US" w:eastAsia="zh-CN"/>
        </w:rPr>
        <w:t>SIB1 if the RNA is defined via RANAC</w:t>
      </w:r>
      <w:r>
        <w:rPr>
          <w:sz w:val="20"/>
          <w:szCs w:val="20"/>
        </w:rPr>
        <w:t>.</w:t>
      </w:r>
      <w:r>
        <w:rPr>
          <w:rFonts w:hint="eastAsia"/>
          <w:sz w:val="20"/>
          <w:szCs w:val="20"/>
          <w:lang w:val="en-US" w:eastAsia="zh-CN"/>
        </w:rPr>
        <w:t xml:space="preserve"> UE needs to perform RNAU</w:t>
      </w:r>
      <w:r>
        <w:rPr>
          <w:sz w:val="20"/>
          <w:szCs w:val="20"/>
        </w:rPr>
        <w:t xml:space="preserve"> when the UE </w:t>
      </w:r>
      <w:r>
        <w:rPr>
          <w:rFonts w:hint="eastAsia"/>
          <w:sz w:val="20"/>
          <w:szCs w:val="20"/>
          <w:lang w:val="en-US" w:eastAsia="zh-CN"/>
        </w:rPr>
        <w:t>re-</w:t>
      </w:r>
      <w:r>
        <w:rPr>
          <w:sz w:val="20"/>
          <w:szCs w:val="20"/>
        </w:rPr>
        <w:t xml:space="preserve">selects a cell that does not belong to </w:t>
      </w:r>
      <w:r>
        <w:rPr>
          <w:rFonts w:hint="eastAsia"/>
          <w:sz w:val="20"/>
          <w:szCs w:val="20"/>
          <w:lang w:val="en-US" w:eastAsia="zh-CN"/>
        </w:rPr>
        <w:t>its previously</w:t>
      </w:r>
      <w:r>
        <w:rPr>
          <w:sz w:val="20"/>
          <w:szCs w:val="20"/>
        </w:rPr>
        <w:t xml:space="preserve"> configured RNA.</w:t>
      </w:r>
      <w:r>
        <w:rPr>
          <w:rFonts w:hint="eastAsia"/>
          <w:sz w:val="20"/>
          <w:szCs w:val="20"/>
          <w:lang w:val="en-US" w:eastAsia="zh-CN"/>
        </w:rPr>
        <w:t xml:space="preserve"> When UE performs RNAU, it may initiate the RRC connection resumption procedure toward gNB, </w:t>
      </w:r>
      <w:r>
        <w:rPr>
          <w:rFonts w:eastAsia="MS Mincho"/>
          <w:sz w:val="20"/>
          <w:szCs w:val="20"/>
        </w:rPr>
        <w:t>providing the I-RNTI allocated by the last serving gNB and appropriate cause value.</w:t>
      </w:r>
      <w:r>
        <w:rPr>
          <w:rFonts w:hint="eastAsia"/>
          <w:sz w:val="20"/>
          <w:szCs w:val="20"/>
          <w:lang w:val="en-US" w:eastAsia="zh-CN"/>
        </w:rPr>
        <w:t xml:space="preserve"> </w:t>
      </w:r>
    </w:p>
    <w:p>
      <w:pPr>
        <w:overflowPunct w:val="0"/>
        <w:autoSpaceDE w:val="0"/>
        <w:autoSpaceDN w:val="0"/>
        <w:adjustRightInd w:val="0"/>
        <w:spacing w:before="156" w:beforeLines="50"/>
        <w:jc w:val="both"/>
        <w:rPr>
          <w:sz w:val="20"/>
          <w:szCs w:val="20"/>
          <w:lang w:val="en-US" w:eastAsia="zh-CN"/>
        </w:rPr>
      </w:pPr>
      <w:r>
        <w:rPr>
          <w:rFonts w:hint="eastAsia"/>
          <w:sz w:val="20"/>
          <w:szCs w:val="20"/>
          <w:lang w:val="en-US" w:eastAsia="zh-CN"/>
        </w:rPr>
        <w:t xml:space="preserve">With it comes to the mobile IAB scenario, the mobile IAB node moves together with the vehicles, which may be across different RNAs. As agreed in RAN3, the </w:t>
      </w:r>
      <w:r>
        <w:rPr>
          <w:rFonts w:hint="default" w:ascii="Times New Roman" w:hAnsi="Times New Roman" w:cs="Times New Roman"/>
          <w:b w:val="0"/>
          <w:bCs/>
          <w:color w:val="auto"/>
          <w:sz w:val="20"/>
          <w:szCs w:val="20"/>
          <w:lang w:eastAsia="en-US"/>
        </w:rPr>
        <w:t>TAC/RANAC broadcast by the mobile IAB-DU can be changed in order to reflect the mIAB-node’s physical location.</w:t>
      </w:r>
      <w:r>
        <w:rPr>
          <w:rFonts w:hint="default" w:ascii="Times New Roman" w:hAnsi="Times New Roman" w:cs="Times New Roman"/>
          <w:b w:val="0"/>
          <w:bCs/>
          <w:color w:val="auto"/>
          <w:sz w:val="20"/>
          <w:szCs w:val="20"/>
          <w:lang w:val="en-US" w:eastAsia="zh-CN"/>
        </w:rPr>
        <w:t xml:space="preserve"> </w:t>
      </w:r>
      <w:r>
        <w:rPr>
          <w:rFonts w:hint="eastAsia" w:cs="Times New Roman"/>
          <w:b w:val="0"/>
          <w:bCs/>
          <w:color w:val="auto"/>
          <w:sz w:val="20"/>
          <w:szCs w:val="20"/>
          <w:lang w:val="en-US" w:eastAsia="zh-CN"/>
        </w:rPr>
        <w:t>To be specific, w</w:t>
      </w:r>
      <w:r>
        <w:rPr>
          <w:rFonts w:hint="eastAsia"/>
          <w:sz w:val="20"/>
          <w:szCs w:val="20"/>
          <w:lang w:val="en-US" w:eastAsia="zh-CN"/>
        </w:rPr>
        <w:t xml:space="preserve">hen the mobile IAB-node performs HO from source donor to target donor, the mobile IAB-MT may detect that </w:t>
      </w:r>
      <w:r>
        <w:rPr>
          <w:sz w:val="20"/>
          <w:szCs w:val="20"/>
        </w:rPr>
        <w:t xml:space="preserve">the </w:t>
      </w:r>
      <w:r>
        <w:rPr>
          <w:rFonts w:hint="eastAsia"/>
          <w:sz w:val="20"/>
          <w:szCs w:val="20"/>
          <w:lang w:val="en-US" w:eastAsia="zh-CN"/>
        </w:rPr>
        <w:t>RANAC/TAC of target donor</w:t>
      </w:r>
      <w:r>
        <w:rPr>
          <w:sz w:val="20"/>
          <w:szCs w:val="20"/>
          <w:lang w:val="en-US" w:eastAsia="zh-CN"/>
        </w:rPr>
        <w:t>’</w:t>
      </w:r>
      <w:r>
        <w:rPr>
          <w:rFonts w:hint="eastAsia"/>
          <w:sz w:val="20"/>
          <w:szCs w:val="20"/>
          <w:lang w:val="en-US" w:eastAsia="zh-CN"/>
        </w:rPr>
        <w:t>s cell is different from the RANAC/TAC broadcast by co-located mobile IAB-DU. In order to keep the UE reachability within RAN area, the mobile IAB-DU</w:t>
      </w:r>
      <w:r>
        <w:rPr>
          <w:sz w:val="20"/>
          <w:szCs w:val="20"/>
          <w:lang w:val="en-US" w:eastAsia="zh-CN"/>
        </w:rPr>
        <w:t>’</w:t>
      </w:r>
      <w:r>
        <w:rPr>
          <w:rFonts w:hint="eastAsia"/>
          <w:sz w:val="20"/>
          <w:szCs w:val="20"/>
          <w:lang w:val="en-US" w:eastAsia="zh-CN"/>
        </w:rPr>
        <w:t>s cells may change the RANAC values broadcast in system information to keep align with the cell of parent donor. Alternatively, the target donor CU may send the RANAC/TAC configuration to mobile IAB-MT via RRC signalling during mobile IAB-MT migration procedure and then mobile IAB-DU</w:t>
      </w:r>
      <w:r>
        <w:rPr>
          <w:sz w:val="20"/>
          <w:szCs w:val="20"/>
          <w:lang w:val="en-US" w:eastAsia="zh-CN"/>
        </w:rPr>
        <w:t>’</w:t>
      </w:r>
      <w:r>
        <w:rPr>
          <w:rFonts w:hint="eastAsia"/>
          <w:sz w:val="20"/>
          <w:szCs w:val="20"/>
          <w:lang w:val="en-US" w:eastAsia="zh-CN"/>
        </w:rPr>
        <w:t xml:space="preserve">s cell broadcast this RANAC/TAC value in system information. </w:t>
      </w:r>
    </w:p>
    <w:p>
      <w:pPr>
        <w:jc w:val="both"/>
        <w:rPr>
          <w:rFonts w:eastAsia="等线"/>
          <w:sz w:val="20"/>
          <w:szCs w:val="20"/>
          <w:lang w:val="en-US" w:eastAsia="zh-CN"/>
        </w:rPr>
      </w:pPr>
      <w:r>
        <w:rPr>
          <w:rFonts w:hint="eastAsia"/>
          <w:sz w:val="20"/>
          <w:szCs w:val="20"/>
          <w:lang w:val="en-US" w:eastAsia="zh-CN"/>
        </w:rPr>
        <w:t>In order to reduce the RNAU of RRC_INACTIVE UEs served by the mobile IAB-DU</w:t>
      </w:r>
      <w:r>
        <w:rPr>
          <w:sz w:val="20"/>
          <w:szCs w:val="20"/>
          <w:lang w:val="en-US" w:eastAsia="zh-CN"/>
        </w:rPr>
        <w:t>’</w:t>
      </w:r>
      <w:r>
        <w:rPr>
          <w:rFonts w:hint="eastAsia"/>
          <w:sz w:val="20"/>
          <w:szCs w:val="20"/>
          <w:lang w:val="en-US" w:eastAsia="zh-CN"/>
        </w:rPr>
        <w:t>s cell, it is suggested that the donor CU of mobile IAB node provide UEs served by the mobile IAB-DU</w:t>
      </w:r>
      <w:r>
        <w:rPr>
          <w:sz w:val="20"/>
          <w:szCs w:val="20"/>
          <w:lang w:val="en-US" w:eastAsia="zh-CN"/>
        </w:rPr>
        <w:t>’</w:t>
      </w:r>
      <w:r>
        <w:rPr>
          <w:rFonts w:hint="eastAsia"/>
          <w:sz w:val="20"/>
          <w:szCs w:val="20"/>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sz w:val="20"/>
          <w:szCs w:val="20"/>
          <w:lang w:eastAsia="ko-KR"/>
        </w:rPr>
        <w:t xml:space="preserve">do not need to perform </w:t>
      </w:r>
      <w:r>
        <w:rPr>
          <w:rFonts w:hint="eastAsia" w:eastAsia="等线"/>
          <w:sz w:val="20"/>
          <w:szCs w:val="20"/>
          <w:lang w:val="en-US" w:eastAsia="zh-CN"/>
        </w:rPr>
        <w:t>RNAU whe</w:t>
      </w:r>
      <w:r>
        <w:rPr>
          <w:rFonts w:eastAsia="等线"/>
          <w:sz w:val="20"/>
          <w:szCs w:val="20"/>
          <w:lang w:eastAsia="ko-KR"/>
        </w:rPr>
        <w:t xml:space="preserve">n the </w:t>
      </w:r>
      <w:r>
        <w:rPr>
          <w:rFonts w:hint="eastAsia" w:eastAsia="等线"/>
          <w:sz w:val="20"/>
          <w:szCs w:val="20"/>
          <w:lang w:val="en-US" w:eastAsia="zh-CN"/>
        </w:rPr>
        <w:t>mobile IAB-DU</w:t>
      </w:r>
      <w:r>
        <w:rPr>
          <w:rFonts w:eastAsia="等线"/>
          <w:sz w:val="20"/>
          <w:szCs w:val="20"/>
          <w:lang w:eastAsia="ko-KR"/>
        </w:rPr>
        <w:t xml:space="preserve"> changes </w:t>
      </w:r>
      <w:r>
        <w:rPr>
          <w:rFonts w:hint="eastAsia" w:eastAsia="等线"/>
          <w:sz w:val="20"/>
          <w:szCs w:val="20"/>
          <w:lang w:val="en-US" w:eastAsia="zh-CN"/>
        </w:rPr>
        <w:t>RANAC</w:t>
      </w:r>
      <w:r>
        <w:rPr>
          <w:rFonts w:eastAsia="等线"/>
          <w:sz w:val="20"/>
          <w:szCs w:val="20"/>
          <w:lang w:eastAsia="ko-KR"/>
        </w:rPr>
        <w:t>s</w:t>
      </w:r>
      <w:r>
        <w:rPr>
          <w:rFonts w:hint="eastAsia" w:eastAsia="等线"/>
          <w:sz w:val="20"/>
          <w:szCs w:val="20"/>
          <w:lang w:val="en-US" w:eastAsia="zh-CN"/>
        </w:rPr>
        <w:t xml:space="preserve">. </w:t>
      </w:r>
    </w:p>
    <w:p>
      <w:pPr>
        <w:jc w:val="both"/>
        <w:rPr>
          <w:rFonts w:hint="eastAsia"/>
          <w:b/>
          <w:bCs/>
          <w:sz w:val="20"/>
          <w:szCs w:val="20"/>
          <w:lang w:val="en-US" w:eastAsia="zh-CN"/>
        </w:rPr>
      </w:pPr>
      <w:r>
        <w:rPr>
          <w:rFonts w:hint="eastAsia"/>
          <w:b/>
          <w:bCs/>
          <w:sz w:val="20"/>
          <w:szCs w:val="20"/>
          <w:lang w:val="en-US" w:eastAsia="zh-CN"/>
        </w:rPr>
        <w:t xml:space="preserve">Proposal 2: To support the dynamic change of RANAC, the following two options may be considered: </w:t>
      </w:r>
    </w:p>
    <w:p>
      <w:pPr>
        <w:numPr>
          <w:ilvl w:val="0"/>
          <w:numId w:val="0"/>
        </w:numPr>
        <w:ind w:firstLine="201" w:firstLineChars="100"/>
        <w:jc w:val="both"/>
        <w:rPr>
          <w:b/>
          <w:bCs/>
          <w:sz w:val="20"/>
          <w:szCs w:val="20"/>
          <w:lang w:val="en-US" w:eastAsia="zh-CN"/>
        </w:rPr>
      </w:pPr>
      <w:r>
        <w:rPr>
          <w:rFonts w:hint="eastAsia"/>
          <w:b/>
          <w:bCs/>
          <w:sz w:val="20"/>
          <w:szCs w:val="20"/>
          <w:lang w:val="en-US" w:eastAsia="zh-CN"/>
        </w:rPr>
        <w:t>1)The mobile IAB-DU</w:t>
      </w:r>
      <w:r>
        <w:rPr>
          <w:b/>
          <w:bCs/>
          <w:sz w:val="20"/>
          <w:szCs w:val="20"/>
          <w:lang w:val="en-US" w:eastAsia="zh-CN"/>
        </w:rPr>
        <w:t>’</w:t>
      </w:r>
      <w:r>
        <w:rPr>
          <w:rFonts w:hint="eastAsia"/>
          <w:b/>
          <w:bCs/>
          <w:sz w:val="20"/>
          <w:szCs w:val="20"/>
          <w:lang w:val="en-US" w:eastAsia="zh-CN"/>
        </w:rPr>
        <w:t xml:space="preserve">s cells may change the RANAC values broadcast in system information to keep align with the RANAC of parent donor. </w:t>
      </w:r>
    </w:p>
    <w:p>
      <w:pPr>
        <w:numPr>
          <w:ilvl w:val="0"/>
          <w:numId w:val="0"/>
        </w:numPr>
        <w:ind w:firstLine="201" w:firstLineChars="100"/>
        <w:jc w:val="both"/>
        <w:rPr>
          <w:rFonts w:hint="eastAsia"/>
          <w:b/>
          <w:bCs/>
          <w:sz w:val="20"/>
          <w:szCs w:val="20"/>
          <w:lang w:val="en-US" w:eastAsia="zh-CN"/>
        </w:rPr>
      </w:pPr>
      <w:r>
        <w:rPr>
          <w:rFonts w:hint="eastAsia"/>
          <w:b/>
          <w:bCs/>
          <w:sz w:val="20"/>
          <w:szCs w:val="20"/>
          <w:lang w:val="en-US" w:eastAsia="zh-CN"/>
        </w:rPr>
        <w:t>2)The target donor CU may send the RANAC configuration to mobile IAB-MT via RRC signalling and then mobile IAB-DU</w:t>
      </w:r>
      <w:r>
        <w:rPr>
          <w:b/>
          <w:bCs/>
          <w:sz w:val="20"/>
          <w:szCs w:val="20"/>
          <w:lang w:val="en-US" w:eastAsia="zh-CN"/>
        </w:rPr>
        <w:t>’</w:t>
      </w:r>
      <w:r>
        <w:rPr>
          <w:rFonts w:hint="eastAsia"/>
          <w:b/>
          <w:bCs/>
          <w:sz w:val="20"/>
          <w:szCs w:val="20"/>
          <w:lang w:val="en-US" w:eastAsia="zh-CN"/>
        </w:rPr>
        <w:t>s cell broadcast this RANAC value in system information.</w:t>
      </w:r>
    </w:p>
    <w:p>
      <w:pPr>
        <w:numPr>
          <w:ilvl w:val="0"/>
          <w:numId w:val="0"/>
        </w:numPr>
        <w:jc w:val="both"/>
        <w:rPr>
          <w:rFonts w:hint="default"/>
          <w:b/>
          <w:bCs/>
          <w:sz w:val="20"/>
          <w:szCs w:val="20"/>
          <w:lang w:val="en-US" w:eastAsia="zh-CN"/>
        </w:rPr>
      </w:pPr>
      <w:r>
        <w:rPr>
          <w:rFonts w:hint="eastAsia"/>
          <w:b/>
          <w:bCs/>
          <w:sz w:val="20"/>
          <w:szCs w:val="20"/>
          <w:lang w:val="en-US" w:eastAsia="zh-CN"/>
        </w:rPr>
        <w:t>Proposal 3: In order to reduce the RNAU of RRC_INACTIVE UEs served by the mobile IAB-DU</w:t>
      </w:r>
      <w:r>
        <w:rPr>
          <w:b/>
          <w:bCs/>
          <w:sz w:val="20"/>
          <w:szCs w:val="20"/>
          <w:lang w:val="en-US" w:eastAsia="zh-CN"/>
        </w:rPr>
        <w:t>’</w:t>
      </w:r>
      <w:r>
        <w:rPr>
          <w:rFonts w:hint="eastAsia"/>
          <w:b/>
          <w:bCs/>
          <w:sz w:val="20"/>
          <w:szCs w:val="20"/>
          <w:lang w:val="en-US" w:eastAsia="zh-CN"/>
        </w:rPr>
        <w:t>s cell, it is suggested that the donor CU provide UEs served by the mobile IAB-DU</w:t>
      </w:r>
      <w:r>
        <w:rPr>
          <w:b/>
          <w:bCs/>
          <w:sz w:val="20"/>
          <w:szCs w:val="20"/>
          <w:lang w:val="en-US" w:eastAsia="zh-CN"/>
        </w:rPr>
        <w:t>’</w:t>
      </w:r>
      <w:r>
        <w:rPr>
          <w:rFonts w:hint="eastAsia"/>
          <w:b/>
          <w:bCs/>
          <w:sz w:val="20"/>
          <w:szCs w:val="20"/>
          <w:lang w:val="en-US" w:eastAsia="zh-CN"/>
        </w:rPr>
        <w:t xml:space="preserve">s cell with a list RANACs, which potentially will be broadcast by the mobile IAB nodes along the movement. </w:t>
      </w:r>
    </w:p>
    <w:p>
      <w:pPr>
        <w:numPr>
          <w:ilvl w:val="0"/>
          <w:numId w:val="0"/>
        </w:numPr>
        <w:ind w:leftChars="0"/>
        <w:jc w:val="both"/>
        <w:rPr>
          <w:sz w:val="20"/>
          <w:szCs w:val="20"/>
          <w:lang w:val="en-US" w:eastAsia="zh-CN"/>
        </w:rPr>
      </w:pPr>
      <w:r>
        <w:rPr>
          <w:rFonts w:hint="eastAsia"/>
          <w:b w:val="0"/>
          <w:bCs w:val="0"/>
          <w:sz w:val="20"/>
          <w:szCs w:val="20"/>
          <w:lang w:val="en-US" w:eastAsia="zh-CN"/>
        </w:rPr>
        <w:t xml:space="preserve">On the other hand, RNA may be configured via a list of NCGIs. </w:t>
      </w:r>
      <w:r>
        <w:rPr>
          <w:rFonts w:hint="eastAsia"/>
          <w:sz w:val="20"/>
          <w:szCs w:val="20"/>
          <w:lang w:val="en-US" w:eastAsia="zh-CN"/>
        </w:rPr>
        <w:t xml:space="preserve">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 RRC_INACTIVE UE may be notified of the NCGI change of the cells of mobile IAB-node-DU and UE replaces the old NCGI with the new one in its cell list of RAN area.  </w:t>
      </w:r>
    </w:p>
    <w:p>
      <w:pPr>
        <w:jc w:val="both"/>
        <w:rPr>
          <w:rFonts w:hint="eastAsia"/>
          <w:b/>
          <w:bCs/>
          <w:sz w:val="21"/>
          <w:szCs w:val="21"/>
          <w:lang w:val="en-US" w:eastAsia="zh-CN"/>
        </w:rPr>
      </w:pPr>
      <w:r>
        <w:rPr>
          <w:rFonts w:hint="eastAsia"/>
          <w:b/>
          <w:bCs/>
          <w:sz w:val="20"/>
          <w:szCs w:val="20"/>
          <w:lang w:val="en-US" w:eastAsia="zh-CN"/>
        </w:rPr>
        <w:t>Proposal 4: For the RNA configuration via a list of NCGIs, in order to reduce unnecessary RNAU, the  RRC_INACTIVE UE may be notified of the NCGI change of the cells of mobile IAB-node-DU and UE may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pPr>
        <w:overflowPunct w:val="0"/>
        <w:autoSpaceDE w:val="0"/>
        <w:autoSpaceDN w:val="0"/>
        <w:adjustRightInd w:val="0"/>
        <w:spacing w:before="156" w:beforeLines="50"/>
        <w:jc w:val="both"/>
        <w:rPr>
          <w:rFonts w:hint="default"/>
          <w:b/>
          <w:lang w:val="en-US" w:eastAsia="zh-CN"/>
        </w:rPr>
      </w:pPr>
      <w:r>
        <w:rPr>
          <w:rFonts w:hint="eastAsia"/>
          <w:b/>
          <w:lang w:val="en-US" w:eastAsia="zh-CN"/>
        </w:rPr>
        <w:t xml:space="preserve">Observation 1: </w:t>
      </w:r>
      <w:r>
        <w:rPr>
          <w:rFonts w:hint="eastAsia"/>
          <w:b/>
          <w:bCs/>
          <w:lang w:val="en-US" w:eastAsia="zh-CN"/>
        </w:rPr>
        <w:t xml:space="preserve">Based on TS 23.501, the TAC broadcast by the mobile IAB cell can be configured by the OAM or donor-CU. </w:t>
      </w:r>
    </w:p>
    <w:p>
      <w:pPr>
        <w:jc w:val="both"/>
        <w:rPr>
          <w:b/>
          <w:lang w:val="en-US" w:eastAsia="zh-CN"/>
        </w:rPr>
      </w:pPr>
      <w:r>
        <w:rPr>
          <w:b/>
          <w:lang w:val="en-US" w:eastAsia="zh-CN"/>
        </w:rPr>
        <w:t xml:space="preserve">Observation </w:t>
      </w:r>
      <w:r>
        <w:rPr>
          <w:rFonts w:hint="eastAsia"/>
          <w:b/>
          <w:lang w:val="en-US" w:eastAsia="zh-CN"/>
        </w:rPr>
        <w:t>2</w:t>
      </w:r>
      <w:r>
        <w:rPr>
          <w:b/>
          <w:lang w:val="en-US" w:eastAsia="zh-CN"/>
        </w:rPr>
        <w:t xml:space="preserve">: </w:t>
      </w:r>
      <w:r>
        <w:rPr>
          <w:rFonts w:hint="eastAsia"/>
          <w:b/>
          <w:lang w:val="en-US" w:eastAsia="zh-CN"/>
        </w:rPr>
        <w:t>Both</w:t>
      </w:r>
      <w:r>
        <w:rPr>
          <w:b/>
          <w:lang w:val="en-US" w:eastAsia="zh-CN"/>
        </w:rPr>
        <w:t xml:space="preserve"> F1 signaling or RRC signaling can be used to </w:t>
      </w:r>
      <w:r>
        <w:rPr>
          <w:rFonts w:hint="eastAsia"/>
          <w:b/>
          <w:lang w:val="en-US" w:eastAsia="zh-CN"/>
        </w:rPr>
        <w:t>configure</w:t>
      </w:r>
      <w:r>
        <w:rPr>
          <w:b/>
          <w:lang w:val="en-US" w:eastAsia="zh-CN"/>
        </w:rPr>
        <w:t xml:space="preserve"> the new TAC</w:t>
      </w:r>
      <w:r>
        <w:rPr>
          <w:rFonts w:hint="eastAsia"/>
          <w:b/>
          <w:lang w:val="en-US" w:eastAsia="zh-CN"/>
        </w:rPr>
        <w:t xml:space="preserve"> value for mobile IAB cell during partial/full migration of mobile IAB node. </w:t>
      </w:r>
      <w:r>
        <w:rPr>
          <w:b/>
          <w:lang w:val="en-US" w:eastAsia="zh-CN"/>
        </w:rPr>
        <w:t xml:space="preserve"> </w:t>
      </w:r>
    </w:p>
    <w:p>
      <w:pPr>
        <w:jc w:val="both"/>
        <w:rPr>
          <w:b/>
          <w:lang w:val="en-US" w:eastAsia="zh-CN"/>
        </w:rPr>
      </w:pPr>
      <w:r>
        <w:rPr>
          <w:b/>
          <w:lang w:val="en-US" w:eastAsia="zh-CN"/>
        </w:rPr>
        <w:t xml:space="preserve">Observation </w:t>
      </w:r>
      <w:r>
        <w:rPr>
          <w:rFonts w:hint="eastAsia"/>
          <w:b/>
          <w:lang w:val="en-US" w:eastAsia="zh-CN"/>
        </w:rPr>
        <w:t>3</w:t>
      </w:r>
      <w:r>
        <w:rPr>
          <w:b/>
          <w:lang w:val="en-US" w:eastAsia="zh-CN"/>
        </w:rPr>
        <w:t>: For inter-gNB partial migration</w:t>
      </w:r>
      <w:r>
        <w:rPr>
          <w:rFonts w:hint="eastAsia"/>
          <w:b/>
          <w:lang w:val="en-US" w:eastAsia="zh-CN"/>
        </w:rPr>
        <w:t xml:space="preserve"> or full migration with mobile IAB-MT and mobile IAB-DU migrating to different donors</w:t>
      </w:r>
      <w:r>
        <w:rPr>
          <w:b/>
          <w:lang w:val="en-US" w:eastAsia="zh-CN"/>
        </w:rPr>
        <w:t>, if gNB determine</w:t>
      </w:r>
      <w:r>
        <w:rPr>
          <w:rFonts w:hint="eastAsia"/>
          <w:b/>
          <w:lang w:val="en-US" w:eastAsia="zh-CN"/>
        </w:rPr>
        <w:t>s</w:t>
      </w:r>
      <w:r>
        <w:rPr>
          <w:b/>
          <w:lang w:val="en-US" w:eastAsia="zh-CN"/>
        </w:rPr>
        <w:t xml:space="preserve"> to configure a new TAC value to mobile IAB node via F1 signaling, then mobile IAB-DU’s donor need to acquire some essential TAC information from mobile IAB-MT’s donor via Xn or NG.</w:t>
      </w:r>
    </w:p>
    <w:p>
      <w:pPr>
        <w:jc w:val="both"/>
        <w:rPr>
          <w:rFonts w:hint="eastAsia"/>
          <w:b/>
          <w:bCs/>
          <w:sz w:val="21"/>
          <w:szCs w:val="21"/>
          <w:lang w:val="en-US" w:eastAsia="zh-CN"/>
        </w:rPr>
      </w:pPr>
      <w:r>
        <w:rPr>
          <w:rFonts w:hint="eastAsia"/>
          <w:b/>
          <w:bCs/>
          <w:lang w:val="en-US" w:eastAsia="zh-CN"/>
        </w:rPr>
        <w:t xml:space="preserve">Proposal 1: </w:t>
      </w:r>
      <w:r>
        <w:rPr>
          <w:b/>
          <w:bCs/>
        </w:rPr>
        <w:t>Mobile IAB-MT</w:t>
      </w:r>
      <w:r>
        <w:rPr>
          <w:rFonts w:hint="eastAsia"/>
          <w:b/>
          <w:bCs/>
          <w:lang w:val="en-US" w:eastAsia="zh-CN"/>
        </w:rPr>
        <w:t xml:space="preserve"> may receive </w:t>
      </w:r>
      <w:r>
        <w:rPr>
          <w:b/>
          <w:bCs/>
        </w:rPr>
        <w:t>a</w:t>
      </w:r>
      <w:r>
        <w:rPr>
          <w:rFonts w:hint="eastAsia"/>
          <w:b/>
          <w:bCs/>
          <w:lang w:val="en-US" w:eastAsia="zh-CN"/>
        </w:rPr>
        <w:t xml:space="preserve"> new</w:t>
      </w:r>
      <w:r>
        <w:rPr>
          <w:b/>
          <w:bCs/>
        </w:rPr>
        <w:t xml:space="preserve"> TAC value </w:t>
      </w:r>
      <w:r>
        <w:rPr>
          <w:rFonts w:hint="eastAsia"/>
          <w:b/>
          <w:bCs/>
          <w:lang w:val="en-US" w:eastAsia="zh-CN"/>
        </w:rPr>
        <w:t xml:space="preserve">specific for mobile IAB node either from system information or from dedicated signalling from donor CU during mobile IAB-MT HO </w:t>
      </w:r>
      <w:r>
        <w:rPr>
          <w:b/>
          <w:bCs/>
        </w:rPr>
        <w:t xml:space="preserve">and then mobile IAB-MT </w:t>
      </w:r>
      <w:r>
        <w:rPr>
          <w:rFonts w:hint="eastAsia"/>
          <w:b/>
          <w:bCs/>
        </w:rPr>
        <w:t>delivers</w:t>
      </w:r>
      <w:r>
        <w:rPr>
          <w:b/>
          <w:bCs/>
        </w:rPr>
        <w:t xml:space="preserve"> the </w:t>
      </w:r>
      <w:r>
        <w:rPr>
          <w:rFonts w:hint="eastAsia"/>
          <w:b/>
          <w:bCs/>
          <w:lang w:val="en-US" w:eastAsia="zh-CN"/>
        </w:rPr>
        <w:t xml:space="preserve">new </w:t>
      </w:r>
      <w:r>
        <w:rPr>
          <w:b/>
          <w:bCs/>
        </w:rPr>
        <w:t>TAC value</w:t>
      </w:r>
      <w:r>
        <w:rPr>
          <w:rFonts w:hint="eastAsia"/>
          <w:b/>
          <w:bCs/>
          <w:lang w:val="en-US" w:eastAsia="zh-CN"/>
        </w:rPr>
        <w:t xml:space="preserve"> specific for mobile IAB node</w:t>
      </w:r>
      <w:r>
        <w:rPr>
          <w:b/>
          <w:bCs/>
        </w:rPr>
        <w:t xml:space="preserve"> to its collocated mobile IAB-DU for SIB broadcasting</w:t>
      </w:r>
      <w:r>
        <w:rPr>
          <w:rFonts w:hint="eastAsia"/>
          <w:b/>
          <w:bCs/>
        </w:rPr>
        <w:t>.</w:t>
      </w:r>
    </w:p>
    <w:p>
      <w:pPr>
        <w:jc w:val="both"/>
        <w:rPr>
          <w:rFonts w:hint="eastAsia"/>
          <w:b/>
          <w:bCs/>
          <w:sz w:val="20"/>
          <w:szCs w:val="20"/>
          <w:lang w:val="en-US" w:eastAsia="zh-CN"/>
        </w:rPr>
      </w:pPr>
      <w:r>
        <w:rPr>
          <w:rFonts w:hint="eastAsia"/>
          <w:b/>
          <w:bCs/>
          <w:sz w:val="20"/>
          <w:szCs w:val="20"/>
          <w:lang w:val="en-US" w:eastAsia="zh-CN"/>
        </w:rPr>
        <w:t xml:space="preserve">Proposal 2: To support the dynamic change of RANAC, the following two options may be considered: </w:t>
      </w:r>
    </w:p>
    <w:p>
      <w:pPr>
        <w:numPr>
          <w:ilvl w:val="0"/>
          <w:numId w:val="0"/>
        </w:numPr>
        <w:ind w:firstLine="201" w:firstLineChars="100"/>
        <w:jc w:val="both"/>
        <w:rPr>
          <w:b/>
          <w:bCs/>
          <w:sz w:val="20"/>
          <w:szCs w:val="20"/>
          <w:lang w:val="en-US" w:eastAsia="zh-CN"/>
        </w:rPr>
      </w:pPr>
      <w:r>
        <w:rPr>
          <w:rFonts w:hint="eastAsia"/>
          <w:b/>
          <w:bCs/>
          <w:sz w:val="20"/>
          <w:szCs w:val="20"/>
          <w:lang w:val="en-US" w:eastAsia="zh-CN"/>
        </w:rPr>
        <w:t>1)The mobile IAB-DU</w:t>
      </w:r>
      <w:r>
        <w:rPr>
          <w:b/>
          <w:bCs/>
          <w:sz w:val="20"/>
          <w:szCs w:val="20"/>
          <w:lang w:val="en-US" w:eastAsia="zh-CN"/>
        </w:rPr>
        <w:t>’</w:t>
      </w:r>
      <w:r>
        <w:rPr>
          <w:rFonts w:hint="eastAsia"/>
          <w:b/>
          <w:bCs/>
          <w:sz w:val="20"/>
          <w:szCs w:val="20"/>
          <w:lang w:val="en-US" w:eastAsia="zh-CN"/>
        </w:rPr>
        <w:t xml:space="preserve">s cells may change the RANAC values broadcast in system information to keep align with the RANAC of parent donor. </w:t>
      </w:r>
    </w:p>
    <w:p>
      <w:pPr>
        <w:numPr>
          <w:ilvl w:val="0"/>
          <w:numId w:val="0"/>
        </w:numPr>
        <w:ind w:firstLine="201" w:firstLineChars="100"/>
        <w:jc w:val="both"/>
        <w:rPr>
          <w:rFonts w:hint="eastAsia"/>
          <w:b/>
          <w:bCs/>
          <w:sz w:val="20"/>
          <w:szCs w:val="20"/>
          <w:lang w:val="en-US" w:eastAsia="zh-CN"/>
        </w:rPr>
      </w:pPr>
      <w:r>
        <w:rPr>
          <w:rFonts w:hint="eastAsia"/>
          <w:b/>
          <w:bCs/>
          <w:sz w:val="20"/>
          <w:szCs w:val="20"/>
          <w:lang w:val="en-US" w:eastAsia="zh-CN"/>
        </w:rPr>
        <w:t>2)The target donor CU may send the RANAC configuration to mobile IAB-MT via RRC signalling and then mobile IAB-DU</w:t>
      </w:r>
      <w:r>
        <w:rPr>
          <w:b/>
          <w:bCs/>
          <w:sz w:val="20"/>
          <w:szCs w:val="20"/>
          <w:lang w:val="en-US" w:eastAsia="zh-CN"/>
        </w:rPr>
        <w:t>’</w:t>
      </w:r>
      <w:r>
        <w:rPr>
          <w:rFonts w:hint="eastAsia"/>
          <w:b/>
          <w:bCs/>
          <w:sz w:val="20"/>
          <w:szCs w:val="20"/>
          <w:lang w:val="en-US" w:eastAsia="zh-CN"/>
        </w:rPr>
        <w:t>s cell broadcast this RANAC value in system information.</w:t>
      </w:r>
    </w:p>
    <w:p>
      <w:pPr>
        <w:numPr>
          <w:ilvl w:val="0"/>
          <w:numId w:val="0"/>
        </w:numPr>
        <w:jc w:val="both"/>
        <w:rPr>
          <w:rFonts w:hint="default"/>
          <w:b/>
          <w:bCs/>
          <w:sz w:val="20"/>
          <w:szCs w:val="20"/>
          <w:lang w:val="en-US" w:eastAsia="zh-CN"/>
        </w:rPr>
      </w:pPr>
      <w:r>
        <w:rPr>
          <w:rFonts w:hint="eastAsia"/>
          <w:b/>
          <w:bCs/>
          <w:sz w:val="20"/>
          <w:szCs w:val="20"/>
          <w:lang w:val="en-US" w:eastAsia="zh-CN"/>
        </w:rPr>
        <w:t>Proposal 3: In order to reduce the RNAU of RRC_INACTIVE UEs served by the mobile IAB-DU</w:t>
      </w:r>
      <w:r>
        <w:rPr>
          <w:b/>
          <w:bCs/>
          <w:sz w:val="20"/>
          <w:szCs w:val="20"/>
          <w:lang w:val="en-US" w:eastAsia="zh-CN"/>
        </w:rPr>
        <w:t>’</w:t>
      </w:r>
      <w:r>
        <w:rPr>
          <w:rFonts w:hint="eastAsia"/>
          <w:b/>
          <w:bCs/>
          <w:sz w:val="20"/>
          <w:szCs w:val="20"/>
          <w:lang w:val="en-US" w:eastAsia="zh-CN"/>
        </w:rPr>
        <w:t>s cell, it is suggested that the donor CU provide UEs served by the mobile IAB-DU</w:t>
      </w:r>
      <w:r>
        <w:rPr>
          <w:b/>
          <w:bCs/>
          <w:sz w:val="20"/>
          <w:szCs w:val="20"/>
          <w:lang w:val="en-US" w:eastAsia="zh-CN"/>
        </w:rPr>
        <w:t>’</w:t>
      </w:r>
      <w:r>
        <w:rPr>
          <w:rFonts w:hint="eastAsia"/>
          <w:b/>
          <w:bCs/>
          <w:sz w:val="20"/>
          <w:szCs w:val="20"/>
          <w:lang w:val="en-US" w:eastAsia="zh-CN"/>
        </w:rPr>
        <w:t xml:space="preserve">s cell with a list RANACs, which potentially will be broadcast by the mobile IAB nodes along the movement. </w:t>
      </w:r>
    </w:p>
    <w:p>
      <w:pPr>
        <w:jc w:val="both"/>
        <w:rPr>
          <w:b/>
          <w:bCs/>
          <w:lang w:val="en-US" w:eastAsia="zh-CN"/>
        </w:rPr>
      </w:pPr>
      <w:r>
        <w:rPr>
          <w:rFonts w:hint="eastAsia"/>
          <w:b/>
          <w:bCs/>
          <w:sz w:val="20"/>
          <w:szCs w:val="20"/>
          <w:lang w:val="en-US" w:eastAsia="zh-CN"/>
        </w:rPr>
        <w:t>Proposal 4: For the RNA configuration via a list of NCGIs, in order to reduce unnecessary RNAU, the  RRC_INACTIVE UE may be notified of the NCGI change of the cells of mobile IAB-node-DU and UE may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r>
        <w:rPr>
          <w:rFonts w:hint="eastAsia"/>
          <w:b/>
          <w:bCs/>
          <w:sz w:val="21"/>
          <w:szCs w:val="21"/>
          <w:lang w:val="en-US" w:eastAsia="zh-CN"/>
        </w:rPr>
        <w:t>.</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1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50"/>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2F1"/>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10D"/>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6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1D5"/>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9C9"/>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78"/>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56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B30"/>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6F98"/>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887"/>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457"/>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D4E"/>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87AAA"/>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5C5"/>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191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47"/>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6AA"/>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1684"/>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85D"/>
    <w:rsid w:val="009F5C3D"/>
    <w:rsid w:val="009F5D50"/>
    <w:rsid w:val="009F5D86"/>
    <w:rsid w:val="009F606B"/>
    <w:rsid w:val="009F60B9"/>
    <w:rsid w:val="009F61B2"/>
    <w:rsid w:val="009F6450"/>
    <w:rsid w:val="009F65C3"/>
    <w:rsid w:val="009F6841"/>
    <w:rsid w:val="009F7D0B"/>
    <w:rsid w:val="009F7DC6"/>
    <w:rsid w:val="00A001F5"/>
    <w:rsid w:val="00A00714"/>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298"/>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7C9"/>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C84"/>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4E6"/>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AB"/>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E7E08"/>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8DE"/>
    <w:rsid w:val="00D949C7"/>
    <w:rsid w:val="00D94D77"/>
    <w:rsid w:val="00D94E69"/>
    <w:rsid w:val="00D950CB"/>
    <w:rsid w:val="00D952E4"/>
    <w:rsid w:val="00D95624"/>
    <w:rsid w:val="00D9565E"/>
    <w:rsid w:val="00D956D4"/>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7B0"/>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B80"/>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01"/>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479"/>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0764A"/>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42C4"/>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15BD3"/>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80F97"/>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E74D70"/>
    <w:rsid w:val="0EFC7DA7"/>
    <w:rsid w:val="0EFE523A"/>
    <w:rsid w:val="0F142574"/>
    <w:rsid w:val="0F245617"/>
    <w:rsid w:val="0F46488F"/>
    <w:rsid w:val="0F4C36C8"/>
    <w:rsid w:val="0F5F0E06"/>
    <w:rsid w:val="0F640159"/>
    <w:rsid w:val="0F6C61FA"/>
    <w:rsid w:val="0F7052E6"/>
    <w:rsid w:val="0F757973"/>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0F472F5"/>
    <w:rsid w:val="11003578"/>
    <w:rsid w:val="1114768E"/>
    <w:rsid w:val="11205E74"/>
    <w:rsid w:val="112325DA"/>
    <w:rsid w:val="112742FC"/>
    <w:rsid w:val="112F045E"/>
    <w:rsid w:val="11312E7E"/>
    <w:rsid w:val="114762BA"/>
    <w:rsid w:val="114B43DF"/>
    <w:rsid w:val="11534747"/>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49506D"/>
    <w:rsid w:val="12505C6D"/>
    <w:rsid w:val="125509A0"/>
    <w:rsid w:val="12620E97"/>
    <w:rsid w:val="126C3536"/>
    <w:rsid w:val="126F1F4B"/>
    <w:rsid w:val="1273677B"/>
    <w:rsid w:val="127530AF"/>
    <w:rsid w:val="12766E6A"/>
    <w:rsid w:val="127D7052"/>
    <w:rsid w:val="12885826"/>
    <w:rsid w:val="128A4BF6"/>
    <w:rsid w:val="12932EFE"/>
    <w:rsid w:val="12944EC4"/>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3FF1965"/>
    <w:rsid w:val="14094AFA"/>
    <w:rsid w:val="141F3605"/>
    <w:rsid w:val="14250E1C"/>
    <w:rsid w:val="142A6E8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15179"/>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34D1C"/>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551C0C"/>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20C75"/>
    <w:rsid w:val="21846ED1"/>
    <w:rsid w:val="21964D08"/>
    <w:rsid w:val="21A61743"/>
    <w:rsid w:val="21AE0533"/>
    <w:rsid w:val="21B5378E"/>
    <w:rsid w:val="21CE6894"/>
    <w:rsid w:val="21D66EB2"/>
    <w:rsid w:val="21D677FD"/>
    <w:rsid w:val="21E359B2"/>
    <w:rsid w:val="22011200"/>
    <w:rsid w:val="22067AB1"/>
    <w:rsid w:val="22096534"/>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2FD5433"/>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A3816"/>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056BD"/>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2C16E1"/>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B2FBB"/>
    <w:rsid w:val="384D1481"/>
    <w:rsid w:val="384E5140"/>
    <w:rsid w:val="385A61A1"/>
    <w:rsid w:val="386B41E2"/>
    <w:rsid w:val="3871591E"/>
    <w:rsid w:val="388103A2"/>
    <w:rsid w:val="388162ED"/>
    <w:rsid w:val="38856EBC"/>
    <w:rsid w:val="3888376D"/>
    <w:rsid w:val="389103F7"/>
    <w:rsid w:val="389C3B40"/>
    <w:rsid w:val="38A117C3"/>
    <w:rsid w:val="38A173CA"/>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04631F"/>
    <w:rsid w:val="3B135593"/>
    <w:rsid w:val="3B1D5FF2"/>
    <w:rsid w:val="3B247E7A"/>
    <w:rsid w:val="3B2D077B"/>
    <w:rsid w:val="3B313B50"/>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CC37BF"/>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AC7DC3"/>
    <w:rsid w:val="3DB83A86"/>
    <w:rsid w:val="3DD318B1"/>
    <w:rsid w:val="3DD76B16"/>
    <w:rsid w:val="3DE2350A"/>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46DA9"/>
    <w:rsid w:val="3FE5707D"/>
    <w:rsid w:val="400B6168"/>
    <w:rsid w:val="400C2D52"/>
    <w:rsid w:val="400C785D"/>
    <w:rsid w:val="400E69A6"/>
    <w:rsid w:val="40216DA7"/>
    <w:rsid w:val="40237876"/>
    <w:rsid w:val="40306192"/>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DF4DD7"/>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16EA"/>
    <w:rsid w:val="432B599B"/>
    <w:rsid w:val="43320FE8"/>
    <w:rsid w:val="4339439F"/>
    <w:rsid w:val="43412E19"/>
    <w:rsid w:val="43512293"/>
    <w:rsid w:val="43610390"/>
    <w:rsid w:val="43655414"/>
    <w:rsid w:val="43675C3B"/>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21D0A"/>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CF4C0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DE4EF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9555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214EDB"/>
    <w:rsid w:val="503D0C67"/>
    <w:rsid w:val="505D0E93"/>
    <w:rsid w:val="505E33D2"/>
    <w:rsid w:val="506864A0"/>
    <w:rsid w:val="506A2CAA"/>
    <w:rsid w:val="50732542"/>
    <w:rsid w:val="50741EE8"/>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532E2"/>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71149"/>
    <w:rsid w:val="52EB488B"/>
    <w:rsid w:val="52ED01C1"/>
    <w:rsid w:val="52F83F37"/>
    <w:rsid w:val="52FB7B68"/>
    <w:rsid w:val="52FF6846"/>
    <w:rsid w:val="530069A5"/>
    <w:rsid w:val="53043A7C"/>
    <w:rsid w:val="53096E29"/>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59E8"/>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07781F"/>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33823"/>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01E19"/>
    <w:rsid w:val="66142811"/>
    <w:rsid w:val="66257927"/>
    <w:rsid w:val="662A49D9"/>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18FB"/>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87706"/>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6F091A"/>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EF2166"/>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3573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329F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35380"/>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C67AF"/>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CFF747B"/>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2448</Words>
  <Characters>13957</Characters>
  <Lines>116</Lines>
  <Paragraphs>32</Paragraphs>
  <TotalTime>1</TotalTime>
  <ScaleCrop>false</ScaleCrop>
  <LinksUpToDate>false</LinksUpToDate>
  <CharactersWithSpaces>16373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2023-02-11T14:08:00Z</dcterms:created>
  <dc:creator>ZTE</dc:creator>
  <cp:lastModifiedBy>ZTE</cp:lastModifiedBy>
  <cp:lastPrinted>2009-04-22T01:01:00Z</cp:lastPrinted>
  <dcterms:modified xsi:type="dcterms:W3CDTF">2023-04-07T04:02:45Z</dcterms:modified>
  <dc:title>3GPP TSG-RAN WG2</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9136084C1672475490785C6C0DEADB7E</vt:lpwstr>
  </property>
</Properties>
</file>